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line="400" w:lineRule="exact"/>
        <w:ind w:firstLine="360" w:firstLineChars="150"/>
        <w:rPr>
          <w:rFonts w:ascii="宋体" w:hAnsi="宋体"/>
          <w:bCs/>
          <w:iCs/>
          <w:sz w:val="24"/>
        </w:rPr>
      </w:pPr>
      <w:r>
        <w:rPr>
          <w:rFonts w:hint="eastAsia" w:ascii="宋体" w:hAnsi="宋体"/>
          <w:bCs/>
          <w:iCs/>
          <w:sz w:val="24"/>
        </w:rPr>
        <w:t>证券代码：000636                           证券简称：风华高科</w:t>
      </w:r>
    </w:p>
    <w:p>
      <w:pPr>
        <w:spacing w:beforeLines="50" w:afterLines="50" w:line="400" w:lineRule="exact"/>
        <w:ind w:firstLine="360" w:firstLineChars="150"/>
        <w:rPr>
          <w:rFonts w:ascii="宋体" w:hAnsi="宋体"/>
          <w:bCs/>
          <w:iCs/>
          <w:sz w:val="24"/>
        </w:rPr>
      </w:pPr>
    </w:p>
    <w:p>
      <w:pPr>
        <w:spacing w:beforeLines="50" w:afterLines="50" w:line="400" w:lineRule="exact"/>
        <w:jc w:val="center"/>
        <w:rPr>
          <w:rFonts w:asciiTheme="majorEastAsia" w:hAnsiTheme="majorEastAsia" w:eastAsiaTheme="majorEastAsia"/>
          <w:b/>
          <w:bCs/>
          <w:iCs/>
          <w:sz w:val="30"/>
          <w:szCs w:val="30"/>
        </w:rPr>
      </w:pPr>
      <w:r>
        <w:rPr>
          <w:rFonts w:hint="eastAsia" w:asciiTheme="majorEastAsia" w:hAnsiTheme="majorEastAsia" w:eastAsiaTheme="majorEastAsia"/>
          <w:b/>
          <w:bCs/>
          <w:iCs/>
          <w:sz w:val="30"/>
          <w:szCs w:val="30"/>
        </w:rPr>
        <w:t>广东风华高新科技股份有限公司</w:t>
      </w:r>
    </w:p>
    <w:p>
      <w:pPr>
        <w:spacing w:beforeLines="50" w:afterLines="50" w:line="400" w:lineRule="exact"/>
        <w:jc w:val="center"/>
        <w:rPr>
          <w:rFonts w:asciiTheme="majorEastAsia" w:hAnsiTheme="majorEastAsia" w:eastAsiaTheme="majorEastAsia"/>
          <w:b/>
          <w:bCs/>
          <w:iCs/>
          <w:sz w:val="30"/>
          <w:szCs w:val="30"/>
        </w:rPr>
      </w:pPr>
      <w:r>
        <w:rPr>
          <w:rFonts w:hint="eastAsia" w:asciiTheme="majorEastAsia" w:hAnsiTheme="majorEastAsia" w:eastAsiaTheme="majorEastAsia"/>
          <w:b/>
          <w:bCs/>
          <w:iCs/>
          <w:sz w:val="30"/>
          <w:szCs w:val="30"/>
        </w:rPr>
        <w:t>投资者关系活动记录表</w:t>
      </w:r>
    </w:p>
    <w:p>
      <w:pPr>
        <w:spacing w:line="400" w:lineRule="exact"/>
        <w:rPr>
          <w:rFonts w:ascii="宋体" w:hAnsi="宋体"/>
          <w:bCs/>
          <w:iCs/>
          <w:sz w:val="24"/>
          <w:szCs w:val="24"/>
        </w:rPr>
      </w:pPr>
      <w:r>
        <w:rPr>
          <w:rFonts w:hint="eastAsia" w:ascii="宋体" w:hAnsi="宋体"/>
          <w:bCs/>
          <w:iCs/>
          <w:sz w:val="24"/>
          <w:szCs w:val="24"/>
        </w:rPr>
        <w:t xml:space="preserve">                                                      编号：2021-001</w:t>
      </w:r>
    </w:p>
    <w:tbl>
      <w:tblPr>
        <w:tblStyle w:val="6"/>
        <w:tblW w:w="9356" w:type="dxa"/>
        <w:tblInd w:w="-45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74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投资者关系活动类别</w:t>
            </w:r>
          </w:p>
          <w:p>
            <w:pPr>
              <w:spacing w:line="480" w:lineRule="atLeast"/>
              <w:rPr>
                <w:rFonts w:ascii="宋体" w:hAnsi="宋体"/>
                <w:b/>
                <w:bCs/>
                <w:iCs/>
                <w:sz w:val="24"/>
                <w:szCs w:val="24"/>
              </w:rPr>
            </w:pP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特定对象调研        </w:t>
            </w:r>
            <w:r>
              <w:rPr>
                <w:rFonts w:hint="eastAsia" w:ascii="宋体" w:hAnsi="宋体"/>
                <w:bCs/>
                <w:iCs/>
                <w:sz w:val="24"/>
                <w:szCs w:val="24"/>
              </w:rPr>
              <w:t>□</w:t>
            </w:r>
            <w:r>
              <w:rPr>
                <w:rFonts w:hint="eastAsia" w:ascii="宋体" w:hAnsi="宋体"/>
                <w:sz w:val="24"/>
                <w:szCs w:val="24"/>
              </w:rPr>
              <w:t>分析师会议</w:t>
            </w:r>
          </w:p>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媒体采访            </w:t>
            </w:r>
            <w:r>
              <w:rPr>
                <w:rFonts w:hint="eastAsia" w:ascii="宋体" w:hAnsi="宋体"/>
                <w:bCs/>
                <w:iCs/>
                <w:sz w:val="24"/>
                <w:szCs w:val="24"/>
              </w:rPr>
              <w:t>□</w:t>
            </w:r>
            <w:r>
              <w:rPr>
                <w:rFonts w:hint="eastAsia" w:ascii="宋体" w:hAnsi="宋体"/>
                <w:sz w:val="24"/>
                <w:szCs w:val="24"/>
              </w:rPr>
              <w:t>业绩说明会</w:t>
            </w:r>
          </w:p>
          <w:p>
            <w:pPr>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 xml:space="preserve">新闻发布会          </w:t>
            </w:r>
            <w:r>
              <w:rPr>
                <w:rFonts w:hint="eastAsia" w:ascii="宋体" w:hAnsi="宋体"/>
                <w:bCs/>
                <w:iCs/>
                <w:sz w:val="24"/>
                <w:szCs w:val="24"/>
              </w:rPr>
              <w:t>□</w:t>
            </w:r>
            <w:r>
              <w:rPr>
                <w:rFonts w:hint="eastAsia" w:ascii="宋体" w:hAnsi="宋体"/>
                <w:sz w:val="24"/>
                <w:szCs w:val="24"/>
              </w:rPr>
              <w:t>路演活动</w:t>
            </w:r>
          </w:p>
          <w:p>
            <w:pPr>
              <w:tabs>
                <w:tab w:val="left" w:pos="3045"/>
                <w:tab w:val="center" w:pos="3199"/>
              </w:tabs>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现场参观</w:t>
            </w:r>
            <w:r>
              <w:rPr>
                <w:rFonts w:hint="eastAsia" w:ascii="宋体" w:hAnsi="宋体"/>
                <w:sz w:val="24"/>
                <w:szCs w:val="24"/>
                <w:lang w:val="en-US" w:eastAsia="zh-CN"/>
              </w:rPr>
              <w:t xml:space="preserve">            </w:t>
            </w:r>
            <w:r>
              <w:rPr>
                <w:rFonts w:hint="eastAsia" w:ascii="宋体" w:hAnsi="宋体"/>
                <w:sz w:val="24"/>
                <w:szCs w:val="24"/>
              </w:rPr>
              <w:t>√</w:t>
            </w:r>
            <w:r>
              <w:rPr>
                <w:rFonts w:hint="eastAsia" w:ascii="宋体" w:hAnsi="宋体"/>
                <w:sz w:val="24"/>
                <w:szCs w:val="24"/>
                <w:lang w:val="en-US" w:eastAsia="zh-CN"/>
              </w:rPr>
              <w:t>电话会议</w:t>
            </w:r>
          </w:p>
          <w:p>
            <w:pPr>
              <w:tabs>
                <w:tab w:val="center" w:pos="3199"/>
              </w:tabs>
              <w:spacing w:line="480" w:lineRule="atLeast"/>
              <w:rPr>
                <w:rFonts w:ascii="宋体" w:hAnsi="宋体"/>
                <w:bCs/>
                <w:iCs/>
                <w:sz w:val="24"/>
                <w:szCs w:val="24"/>
              </w:rPr>
            </w:pPr>
            <w:r>
              <w:rPr>
                <w:rFonts w:hint="eastAsia" w:ascii="宋体" w:hAnsi="宋体"/>
                <w:bCs/>
                <w:iCs/>
                <w:sz w:val="24"/>
                <w:szCs w:val="24"/>
              </w:rPr>
              <w:t>□</w:t>
            </w:r>
            <w:r>
              <w:rPr>
                <w:rFonts w:hint="eastAsia" w:ascii="宋体" w:hAnsi="宋体"/>
                <w:sz w:val="24"/>
                <w:szCs w:val="24"/>
              </w:rPr>
              <w:t>其他 （</w:t>
            </w:r>
            <w:r>
              <w:rPr>
                <w:rFonts w:hint="eastAsia" w:ascii="宋体" w:hAnsi="宋体"/>
                <w:sz w:val="24"/>
                <w:szCs w:val="24"/>
                <w:u w:val="single"/>
              </w:rPr>
              <w:t>请文字说明其他活动内容）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参与单位名称</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华泰证券、中信建投、广发基金、泰康资产、工银瑞信、交银施罗德、兴业资管、华夏未来、中融基金、招商基金、国寿养老、嘉合基金等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时间</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2021年1月10日</w:t>
            </w:r>
            <w:r>
              <w:rPr>
                <w:rFonts w:hint="eastAsia" w:ascii="宋体" w:hAnsi="宋体"/>
                <w:bCs/>
                <w:iCs/>
                <w:sz w:val="24"/>
                <w:szCs w:val="24"/>
                <w:lang w:val="en-US" w:eastAsia="zh-CN"/>
              </w:rPr>
              <w:t>20:00时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地点</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广东省肇庆市风华路18号风华电子城公司会议室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tcPr>
          <w:p>
            <w:pPr>
              <w:spacing w:line="480" w:lineRule="atLeast"/>
              <w:rPr>
                <w:rFonts w:ascii="宋体" w:hAnsi="宋体"/>
                <w:b/>
                <w:bCs/>
                <w:iCs/>
                <w:sz w:val="24"/>
                <w:szCs w:val="24"/>
              </w:rPr>
            </w:pPr>
            <w:r>
              <w:rPr>
                <w:rFonts w:hint="eastAsia" w:ascii="宋体" w:hAnsi="宋体"/>
                <w:b/>
                <w:bCs/>
                <w:iCs/>
                <w:sz w:val="24"/>
                <w:szCs w:val="24"/>
              </w:rPr>
              <w:t>上市公司接待人员姓名</w:t>
            </w:r>
          </w:p>
        </w:tc>
        <w:tc>
          <w:tcPr>
            <w:tcW w:w="7448" w:type="dxa"/>
            <w:shd w:val="clear" w:color="auto" w:fill="auto"/>
            <w:vAlign w:val="center"/>
          </w:tcPr>
          <w:p>
            <w:pPr>
              <w:spacing w:line="480" w:lineRule="atLeast"/>
              <w:rPr>
                <w:rFonts w:ascii="宋体" w:hAnsi="宋体"/>
                <w:bCs/>
                <w:iCs/>
                <w:sz w:val="24"/>
                <w:szCs w:val="24"/>
              </w:rPr>
            </w:pPr>
            <w:r>
              <w:rPr>
                <w:rFonts w:hint="eastAsia" w:ascii="宋体" w:hAnsi="宋体"/>
                <w:bCs/>
                <w:iCs/>
                <w:sz w:val="24"/>
                <w:szCs w:val="24"/>
              </w:rPr>
              <w:t>董事会秘书薛泽彬先生</w:t>
            </w:r>
            <w:r>
              <w:rPr>
                <w:rFonts w:hint="eastAsia" w:ascii="宋体" w:hAnsi="宋体"/>
                <w:bCs/>
                <w:iCs/>
                <w:sz w:val="24"/>
                <w:szCs w:val="24"/>
                <w:lang w:eastAsia="zh-CN"/>
              </w:rPr>
              <w:t>、</w:t>
            </w:r>
            <w:r>
              <w:rPr>
                <w:rFonts w:hint="eastAsia" w:ascii="宋体" w:hAnsi="宋体"/>
                <w:bCs/>
                <w:iCs/>
                <w:sz w:val="24"/>
                <w:szCs w:val="24"/>
              </w:rPr>
              <w:t>投资与证券事务部及营销中心工作人员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57" w:hRule="atLeast"/>
        </w:trPr>
        <w:tc>
          <w:tcPr>
            <w:tcW w:w="19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投资者关系活动主要内容介绍</w:t>
            </w:r>
          </w:p>
          <w:p>
            <w:pPr>
              <w:spacing w:line="480" w:lineRule="atLeast"/>
              <w:rPr>
                <w:rFonts w:ascii="宋体" w:hAnsi="宋体"/>
                <w:b/>
                <w:bCs/>
                <w:iCs/>
                <w:sz w:val="24"/>
                <w:szCs w:val="24"/>
              </w:rPr>
            </w:pPr>
          </w:p>
        </w:tc>
        <w:tc>
          <w:tcPr>
            <w:tcW w:w="7448" w:type="dxa"/>
            <w:shd w:val="clear" w:color="auto" w:fill="auto"/>
          </w:tcPr>
          <w:p>
            <w:pPr>
              <w:spacing w:line="480" w:lineRule="atLeast"/>
              <w:ind w:firstLine="465"/>
              <w:rPr>
                <w:rFonts w:ascii="宋体" w:hAnsi="宋体"/>
                <w:b/>
                <w:bCs/>
                <w:iCs/>
                <w:sz w:val="24"/>
                <w:szCs w:val="24"/>
              </w:rPr>
            </w:pPr>
            <w:r>
              <w:rPr>
                <w:rFonts w:hint="eastAsia" w:ascii="宋体" w:hAnsi="宋体"/>
                <w:b/>
                <w:bCs/>
                <w:iCs/>
                <w:sz w:val="24"/>
                <w:szCs w:val="24"/>
              </w:rPr>
              <w:t>1．关于公司本次非公开发行股票预案的解读。</w:t>
            </w:r>
          </w:p>
          <w:p>
            <w:pPr>
              <w:spacing w:line="360" w:lineRule="auto"/>
              <w:ind w:firstLine="482" w:firstLineChars="200"/>
              <w:jc w:val="left"/>
              <w:rPr>
                <w:rFonts w:ascii="宋体" w:hAnsi="宋体"/>
                <w:bCs/>
                <w:iCs/>
                <w:sz w:val="24"/>
                <w:szCs w:val="24"/>
              </w:rPr>
            </w:pPr>
            <w:r>
              <w:rPr>
                <w:rFonts w:hint="eastAsia" w:ascii="宋体" w:hAnsi="宋体"/>
                <w:b/>
                <w:bCs/>
                <w:iCs/>
                <w:sz w:val="24"/>
                <w:szCs w:val="24"/>
              </w:rPr>
              <w:t>说明：</w:t>
            </w:r>
            <w:r>
              <w:rPr>
                <w:rFonts w:hint="eastAsia" w:ascii="宋体" w:hAnsi="宋体"/>
                <w:bCs/>
                <w:iCs/>
                <w:sz w:val="24"/>
                <w:szCs w:val="24"/>
              </w:rPr>
              <w:t>公司于2021年1月7日披露了《风华高科2021年度非公开发行A股股票预案》</w:t>
            </w:r>
            <w:r>
              <w:rPr>
                <w:rFonts w:ascii="宋体" w:hAnsi="宋体"/>
                <w:bCs/>
                <w:iCs/>
                <w:sz w:val="24"/>
                <w:szCs w:val="24"/>
              </w:rPr>
              <w:t>。</w:t>
            </w:r>
            <w:r>
              <w:rPr>
                <w:rFonts w:hint="eastAsia" w:ascii="宋体" w:hAnsi="宋体"/>
                <w:bCs/>
                <w:iCs/>
                <w:sz w:val="24"/>
                <w:szCs w:val="24"/>
              </w:rPr>
              <w:t>公司本次非公开发行募集金额总额不超过人民币50亿元，其中控股股东广晟公司拟认购额度不低于20.03%；本次发行股票数量不超过本次发行前总股本的30%；发行对象包括公司控股股东广晟公司在内的不超过35名符合中国证监会规定条件的特定对象；发行价格不低于定价基准日前20个交易日公司股价均价的80%；本次非公开发行募集资金净额全部用于投资公司祥和工业园高端电容基地建设项目及新增月产280亿只片式电阻器技改扩产项目，</w:t>
            </w:r>
            <w:r>
              <w:rPr>
                <w:rFonts w:hint="eastAsia" w:ascii="宋体" w:hAnsi="宋体"/>
                <w:bCs/>
                <w:iCs/>
                <w:sz w:val="24"/>
                <w:szCs w:val="24"/>
                <w:lang w:val="en-US" w:eastAsia="zh-CN"/>
              </w:rPr>
              <w:t>拟投入募集资金额</w:t>
            </w:r>
            <w:r>
              <w:rPr>
                <w:rFonts w:hint="eastAsia" w:ascii="宋体" w:hAnsi="宋体"/>
                <w:bCs/>
                <w:iCs/>
                <w:sz w:val="24"/>
                <w:szCs w:val="24"/>
              </w:rPr>
              <w:t>分别</w:t>
            </w:r>
            <w:r>
              <w:rPr>
                <w:rFonts w:hint="eastAsia" w:ascii="宋体" w:hAnsi="宋体"/>
                <w:bCs/>
                <w:iCs/>
                <w:sz w:val="24"/>
                <w:szCs w:val="24"/>
                <w:lang w:val="en-US" w:eastAsia="zh-CN"/>
              </w:rPr>
              <w:t>为</w:t>
            </w:r>
            <w:r>
              <w:rPr>
                <w:rFonts w:hint="eastAsia" w:ascii="宋体" w:hAnsi="宋体"/>
                <w:bCs/>
                <w:iCs/>
                <w:sz w:val="24"/>
                <w:szCs w:val="24"/>
              </w:rPr>
              <w:t>40亿元和10亿元。</w:t>
            </w:r>
          </w:p>
          <w:p>
            <w:pPr>
              <w:spacing w:line="480" w:lineRule="atLeast"/>
              <w:ind w:firstLine="465"/>
              <w:rPr>
                <w:rFonts w:ascii="宋体" w:hAnsi="宋体"/>
                <w:b/>
                <w:bCs/>
                <w:iCs/>
                <w:sz w:val="24"/>
                <w:szCs w:val="24"/>
              </w:rPr>
            </w:pPr>
            <w:r>
              <w:rPr>
                <w:rFonts w:hint="eastAsia" w:ascii="宋体" w:hAnsi="宋体"/>
                <w:b/>
                <w:bCs/>
                <w:iCs/>
                <w:sz w:val="24"/>
                <w:szCs w:val="24"/>
              </w:rPr>
              <w:t>2．关于公司近期投资广晟研究院10%股权项目的必要性解读。</w:t>
            </w:r>
          </w:p>
          <w:p>
            <w:pPr>
              <w:spacing w:line="480" w:lineRule="atLeast"/>
              <w:ind w:firstLine="465"/>
              <w:rPr>
                <w:rFonts w:ascii="宋体" w:hAnsi="宋体"/>
                <w:bCs/>
                <w:iCs/>
                <w:sz w:val="24"/>
                <w:szCs w:val="24"/>
              </w:rPr>
            </w:pPr>
            <w:r>
              <w:rPr>
                <w:rFonts w:hint="eastAsia" w:ascii="宋体" w:hAnsi="宋体"/>
                <w:b/>
                <w:bCs/>
                <w:iCs/>
                <w:sz w:val="24"/>
                <w:szCs w:val="24"/>
              </w:rPr>
              <w:t>说明：</w:t>
            </w:r>
            <w:r>
              <w:rPr>
                <w:rFonts w:hint="eastAsia" w:ascii="宋体" w:hAnsi="宋体"/>
                <w:bCs/>
                <w:iCs/>
                <w:sz w:val="24"/>
                <w:szCs w:val="24"/>
              </w:rPr>
              <w:t>公司于2020年12月29日披露了《</w:t>
            </w:r>
            <w:r>
              <w:rPr>
                <w:rFonts w:ascii="宋体" w:hAnsi="宋体"/>
                <w:bCs/>
                <w:iCs/>
                <w:sz w:val="24"/>
                <w:szCs w:val="24"/>
              </w:rPr>
              <w:t>关于受让广东广晟研究开发院有限公司10%股权暨关联交易的公告</w:t>
            </w:r>
            <w:r>
              <w:rPr>
                <w:rFonts w:hint="eastAsia" w:ascii="宋体" w:hAnsi="宋体"/>
                <w:bCs/>
                <w:iCs/>
                <w:sz w:val="24"/>
                <w:szCs w:val="24"/>
              </w:rPr>
              <w:t>》。公司本次投资广晟研究院股权主要系基于共享其平台资源，加快创新领域项目的孵化。广晟研究院作为广晟系统内创新大平台，具备较强的资源汇集能力和资源整合能力，可构建优质科技资源与技术人才活跃的新平台；同时与广晟公司及其体系企业的业务资质与技术可以优势互补，资源整合，研发与应用交叉等，有助于拓展科技创新业务，实现资源共享。另外，公司目前主要聚焦阻容感主业发展战略，公司主要的资源将集中于片式元器件的发展，为同时加快非主营产品及孵化项目未来长远和稳健的发展，公司有必要借助于创新优势资源发挥作用，借助外力对非主营业务及孵化项目做大做强，同时为公司培育新的利润增长点。</w:t>
            </w:r>
          </w:p>
          <w:p>
            <w:pPr>
              <w:spacing w:line="480" w:lineRule="atLeast"/>
              <w:ind w:firstLine="465"/>
              <w:rPr>
                <w:rFonts w:ascii="宋体" w:hAnsi="宋体"/>
                <w:b/>
                <w:bCs/>
                <w:iCs/>
                <w:sz w:val="24"/>
                <w:szCs w:val="24"/>
              </w:rPr>
            </w:pPr>
            <w:r>
              <w:rPr>
                <w:rFonts w:hint="eastAsia" w:ascii="宋体" w:hAnsi="宋体"/>
                <w:b/>
                <w:bCs/>
                <w:iCs/>
                <w:sz w:val="24"/>
                <w:szCs w:val="24"/>
              </w:rPr>
              <w:t>3.关于公司祥和工业园高端电容基地建设项目的进展情况。</w:t>
            </w:r>
          </w:p>
          <w:p>
            <w:pPr>
              <w:spacing w:line="480" w:lineRule="atLeast"/>
              <w:ind w:firstLine="465"/>
              <w:rPr>
                <w:rFonts w:ascii="宋体" w:hAnsi="宋体"/>
                <w:bCs/>
                <w:iCs/>
                <w:sz w:val="24"/>
                <w:szCs w:val="24"/>
              </w:rPr>
            </w:pPr>
            <w:r>
              <w:rPr>
                <w:rFonts w:hint="eastAsia" w:ascii="宋体" w:hAnsi="宋体"/>
                <w:b/>
                <w:bCs/>
                <w:iCs/>
                <w:sz w:val="24"/>
                <w:szCs w:val="24"/>
              </w:rPr>
              <w:t>说明：</w:t>
            </w:r>
            <w:r>
              <w:rPr>
                <w:rFonts w:hint="eastAsia" w:ascii="宋体" w:hAnsi="宋体"/>
                <w:bCs/>
                <w:iCs/>
                <w:sz w:val="24"/>
                <w:szCs w:val="24"/>
              </w:rPr>
              <w:t>截至目前，公司投资75亿元建设的祥和工业园高端电容基地建设项目整体进度符合公司规划目标，公司已结合项目需求制定各项资源配置保障措施，全力以赴按立项目标推进项目建设。</w:t>
            </w:r>
          </w:p>
          <w:p>
            <w:pPr>
              <w:spacing w:line="480" w:lineRule="atLeast"/>
              <w:ind w:firstLine="465"/>
              <w:rPr>
                <w:rFonts w:hint="eastAsia" w:ascii="宋体" w:hAnsi="宋体"/>
                <w:b/>
                <w:bCs/>
                <w:iCs/>
                <w:sz w:val="24"/>
                <w:szCs w:val="24"/>
              </w:rPr>
            </w:pPr>
            <w:r>
              <w:rPr>
                <w:rFonts w:hint="eastAsia" w:ascii="宋体" w:hAnsi="宋体"/>
                <w:b/>
                <w:bCs/>
                <w:iCs/>
                <w:sz w:val="24"/>
                <w:szCs w:val="24"/>
              </w:rPr>
              <w:t>4.关于公司生产经营情况。</w:t>
            </w:r>
          </w:p>
          <w:p>
            <w:pPr>
              <w:spacing w:line="480" w:lineRule="atLeast"/>
              <w:ind w:firstLine="465"/>
              <w:rPr>
                <w:rFonts w:ascii="宋体" w:hAnsi="宋体"/>
                <w:bCs/>
                <w:iCs/>
                <w:sz w:val="24"/>
                <w:szCs w:val="24"/>
              </w:rPr>
            </w:pPr>
            <w:r>
              <w:rPr>
                <w:rFonts w:hint="eastAsia" w:ascii="宋体" w:hAnsi="宋体"/>
                <w:b/>
                <w:bCs/>
                <w:iCs/>
                <w:sz w:val="24"/>
                <w:szCs w:val="24"/>
              </w:rPr>
              <w:t>说明：</w:t>
            </w:r>
            <w:r>
              <w:rPr>
                <w:rFonts w:hint="eastAsia" w:ascii="宋体" w:hAnsi="宋体"/>
                <w:bCs/>
                <w:iCs/>
                <w:sz w:val="24"/>
                <w:szCs w:val="24"/>
              </w:rPr>
              <w:t>截至目前，公司主营产品产能满负荷运转，市场订单饱满，生产经营正常。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附件清单（如有）</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08" w:type="dxa"/>
            <w:shd w:val="clear" w:color="auto" w:fill="auto"/>
            <w:vAlign w:val="center"/>
          </w:tcPr>
          <w:p>
            <w:pPr>
              <w:spacing w:line="480" w:lineRule="atLeast"/>
              <w:rPr>
                <w:rFonts w:ascii="宋体" w:hAnsi="宋体"/>
                <w:b/>
                <w:bCs/>
                <w:iCs/>
                <w:sz w:val="24"/>
                <w:szCs w:val="24"/>
              </w:rPr>
            </w:pPr>
            <w:r>
              <w:rPr>
                <w:rFonts w:hint="eastAsia" w:ascii="宋体" w:hAnsi="宋体"/>
                <w:b/>
                <w:bCs/>
                <w:iCs/>
                <w:sz w:val="24"/>
                <w:szCs w:val="24"/>
              </w:rPr>
              <w:t>日期</w:t>
            </w:r>
          </w:p>
        </w:tc>
        <w:tc>
          <w:tcPr>
            <w:tcW w:w="7448" w:type="dxa"/>
            <w:shd w:val="clear" w:color="auto" w:fill="auto"/>
          </w:tcPr>
          <w:p>
            <w:pPr>
              <w:spacing w:line="480" w:lineRule="atLeast"/>
              <w:rPr>
                <w:rFonts w:ascii="宋体" w:hAnsi="宋体"/>
                <w:bCs/>
                <w:iCs/>
                <w:sz w:val="24"/>
                <w:szCs w:val="24"/>
              </w:rPr>
            </w:pPr>
            <w:r>
              <w:rPr>
                <w:rFonts w:hint="eastAsia" w:ascii="宋体" w:hAnsi="宋体"/>
                <w:bCs/>
                <w:iCs/>
                <w:sz w:val="24"/>
                <w:szCs w:val="24"/>
              </w:rPr>
              <w:t>2021年1月1</w:t>
            </w:r>
            <w:r>
              <w:rPr>
                <w:rFonts w:hint="eastAsia" w:ascii="宋体" w:hAnsi="宋体"/>
                <w:bCs/>
                <w:iCs/>
                <w:sz w:val="24"/>
                <w:szCs w:val="24"/>
                <w:lang w:val="en-US" w:eastAsia="zh-CN"/>
              </w:rPr>
              <w:t>1</w:t>
            </w:r>
            <w:bookmarkStart w:id="0" w:name="_GoBack"/>
            <w:bookmarkEnd w:id="0"/>
            <w:r>
              <w:rPr>
                <w:rFonts w:hint="eastAsia" w:ascii="宋体" w:hAnsi="宋体"/>
                <w:bCs/>
                <w:iCs/>
                <w:sz w:val="24"/>
                <w:szCs w:val="24"/>
              </w:rPr>
              <w:t>日</w:t>
            </w:r>
          </w:p>
        </w:tc>
      </w:tr>
    </w:tbl>
    <w:p/>
    <w:sectPr>
      <w:pgSz w:w="11906" w:h="16838"/>
      <w:pgMar w:top="1276" w:right="1800" w:bottom="1418"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3"/>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E955B8"/>
    <w:rsid w:val="00026876"/>
    <w:rsid w:val="000330F0"/>
    <w:rsid w:val="000471DE"/>
    <w:rsid w:val="00051214"/>
    <w:rsid w:val="00062A79"/>
    <w:rsid w:val="0009738A"/>
    <w:rsid w:val="000B2336"/>
    <w:rsid w:val="000D4851"/>
    <w:rsid w:val="000E1652"/>
    <w:rsid w:val="00125E97"/>
    <w:rsid w:val="00180089"/>
    <w:rsid w:val="001B54D0"/>
    <w:rsid w:val="001E54B7"/>
    <w:rsid w:val="00220827"/>
    <w:rsid w:val="00224EA0"/>
    <w:rsid w:val="00226FA7"/>
    <w:rsid w:val="00241472"/>
    <w:rsid w:val="0027476C"/>
    <w:rsid w:val="002D45F7"/>
    <w:rsid w:val="00301E9B"/>
    <w:rsid w:val="003107CC"/>
    <w:rsid w:val="00316481"/>
    <w:rsid w:val="0032465C"/>
    <w:rsid w:val="00347985"/>
    <w:rsid w:val="00356369"/>
    <w:rsid w:val="00367B6B"/>
    <w:rsid w:val="003A1F98"/>
    <w:rsid w:val="003A1FE9"/>
    <w:rsid w:val="003A263F"/>
    <w:rsid w:val="003A49A6"/>
    <w:rsid w:val="003A6778"/>
    <w:rsid w:val="003B372F"/>
    <w:rsid w:val="003C1D36"/>
    <w:rsid w:val="003D2A9C"/>
    <w:rsid w:val="003E6850"/>
    <w:rsid w:val="003F5A78"/>
    <w:rsid w:val="00400E59"/>
    <w:rsid w:val="00404FF2"/>
    <w:rsid w:val="00406708"/>
    <w:rsid w:val="004254BB"/>
    <w:rsid w:val="004351E2"/>
    <w:rsid w:val="00454FCE"/>
    <w:rsid w:val="00464AE3"/>
    <w:rsid w:val="0048039E"/>
    <w:rsid w:val="00486B4C"/>
    <w:rsid w:val="004D0F2B"/>
    <w:rsid w:val="004D57CD"/>
    <w:rsid w:val="005277A6"/>
    <w:rsid w:val="0055470D"/>
    <w:rsid w:val="005741EF"/>
    <w:rsid w:val="00593970"/>
    <w:rsid w:val="005C5D26"/>
    <w:rsid w:val="005F2921"/>
    <w:rsid w:val="00601D6D"/>
    <w:rsid w:val="006374CA"/>
    <w:rsid w:val="0065424E"/>
    <w:rsid w:val="00664C52"/>
    <w:rsid w:val="0066540B"/>
    <w:rsid w:val="00692757"/>
    <w:rsid w:val="006973D0"/>
    <w:rsid w:val="006E61B8"/>
    <w:rsid w:val="00710D1B"/>
    <w:rsid w:val="0074419F"/>
    <w:rsid w:val="00746150"/>
    <w:rsid w:val="00754546"/>
    <w:rsid w:val="007813E4"/>
    <w:rsid w:val="007855A1"/>
    <w:rsid w:val="0078753E"/>
    <w:rsid w:val="00787FD9"/>
    <w:rsid w:val="00791CBA"/>
    <w:rsid w:val="00814D2C"/>
    <w:rsid w:val="008267BD"/>
    <w:rsid w:val="00831931"/>
    <w:rsid w:val="00847D84"/>
    <w:rsid w:val="008614C9"/>
    <w:rsid w:val="00872101"/>
    <w:rsid w:val="00884C47"/>
    <w:rsid w:val="00893E6F"/>
    <w:rsid w:val="008A6836"/>
    <w:rsid w:val="008B1EA9"/>
    <w:rsid w:val="008B255E"/>
    <w:rsid w:val="008B7BAB"/>
    <w:rsid w:val="0092034E"/>
    <w:rsid w:val="00927BDE"/>
    <w:rsid w:val="009327F3"/>
    <w:rsid w:val="00942FF6"/>
    <w:rsid w:val="00963A49"/>
    <w:rsid w:val="00991892"/>
    <w:rsid w:val="009E49BF"/>
    <w:rsid w:val="009F35B1"/>
    <w:rsid w:val="00A06FDE"/>
    <w:rsid w:val="00A30D03"/>
    <w:rsid w:val="00A3709A"/>
    <w:rsid w:val="00A4187E"/>
    <w:rsid w:val="00A612EB"/>
    <w:rsid w:val="00A6533F"/>
    <w:rsid w:val="00A70107"/>
    <w:rsid w:val="00A72707"/>
    <w:rsid w:val="00AA1D5D"/>
    <w:rsid w:val="00AA4C01"/>
    <w:rsid w:val="00AB4AFF"/>
    <w:rsid w:val="00AC1115"/>
    <w:rsid w:val="00AC2440"/>
    <w:rsid w:val="00AD173D"/>
    <w:rsid w:val="00B40874"/>
    <w:rsid w:val="00B44AF2"/>
    <w:rsid w:val="00B73854"/>
    <w:rsid w:val="00B8522A"/>
    <w:rsid w:val="00B8795C"/>
    <w:rsid w:val="00BB1502"/>
    <w:rsid w:val="00BE7AF9"/>
    <w:rsid w:val="00C02F6B"/>
    <w:rsid w:val="00C32C77"/>
    <w:rsid w:val="00C46F43"/>
    <w:rsid w:val="00C5701D"/>
    <w:rsid w:val="00C60329"/>
    <w:rsid w:val="00C7008C"/>
    <w:rsid w:val="00C91017"/>
    <w:rsid w:val="00CB02A0"/>
    <w:rsid w:val="00CC1930"/>
    <w:rsid w:val="00D13612"/>
    <w:rsid w:val="00D206E4"/>
    <w:rsid w:val="00D318A1"/>
    <w:rsid w:val="00D4478F"/>
    <w:rsid w:val="00D52164"/>
    <w:rsid w:val="00D541C0"/>
    <w:rsid w:val="00D6000B"/>
    <w:rsid w:val="00D64D41"/>
    <w:rsid w:val="00D67338"/>
    <w:rsid w:val="00DB2B1F"/>
    <w:rsid w:val="00DD27FD"/>
    <w:rsid w:val="00DD3125"/>
    <w:rsid w:val="00DD47A2"/>
    <w:rsid w:val="00DD5F2C"/>
    <w:rsid w:val="00DF4548"/>
    <w:rsid w:val="00E06531"/>
    <w:rsid w:val="00E12000"/>
    <w:rsid w:val="00E25AC1"/>
    <w:rsid w:val="00E31C87"/>
    <w:rsid w:val="00E3310C"/>
    <w:rsid w:val="00E549E4"/>
    <w:rsid w:val="00E6463B"/>
    <w:rsid w:val="00E72664"/>
    <w:rsid w:val="00E76673"/>
    <w:rsid w:val="00E9370A"/>
    <w:rsid w:val="00E955B8"/>
    <w:rsid w:val="00EA13C5"/>
    <w:rsid w:val="00EA3A7E"/>
    <w:rsid w:val="00EC0148"/>
    <w:rsid w:val="00EC3E7C"/>
    <w:rsid w:val="00EC6F5A"/>
    <w:rsid w:val="00EE31B2"/>
    <w:rsid w:val="00F0098E"/>
    <w:rsid w:val="00F07B0F"/>
    <w:rsid w:val="00F215F5"/>
    <w:rsid w:val="00F24A71"/>
    <w:rsid w:val="00F4383F"/>
    <w:rsid w:val="00F7332E"/>
    <w:rsid w:val="00F75716"/>
    <w:rsid w:val="00F85496"/>
    <w:rsid w:val="00F854F5"/>
    <w:rsid w:val="00F93615"/>
    <w:rsid w:val="00FB6F8D"/>
    <w:rsid w:val="00FC6EBD"/>
    <w:rsid w:val="00FD13E1"/>
    <w:rsid w:val="0848465E"/>
    <w:rsid w:val="263932D0"/>
    <w:rsid w:val="57E71D3A"/>
    <w:rsid w:val="5B744950"/>
    <w:rsid w:val="65970FA5"/>
    <w:rsid w:val="65FD41CC"/>
    <w:rsid w:val="77217D6A"/>
    <w:rsid w:val="7FEF57AD"/>
    <w:rsid w:val="FDFBE3D1"/>
    <w:rsid w:val="FEFF19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link w:val="9"/>
    <w:unhideWhenUsed/>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styleId="5">
    <w:name w:val="Hyperlink"/>
    <w:basedOn w:val="4"/>
    <w:unhideWhenUsed/>
    <w:qFormat/>
    <w:uiPriority w:val="99"/>
    <w:rPr>
      <w:color w:val="0000FF"/>
      <w:u w:val="single"/>
    </w:rPr>
  </w:style>
  <w:style w:type="paragraph" w:customStyle="1" w:styleId="7">
    <w:name w:val="列出段落1"/>
    <w:basedOn w:val="1"/>
    <w:qFormat/>
    <w:uiPriority w:val="34"/>
    <w:pPr>
      <w:ind w:firstLine="420" w:firstLineChars="200"/>
    </w:pPr>
  </w:style>
  <w:style w:type="character" w:customStyle="1" w:styleId="8">
    <w:name w:val="页眉 Char"/>
    <w:basedOn w:val="4"/>
    <w:link w:val="3"/>
    <w:semiHidden/>
    <w:qFormat/>
    <w:uiPriority w:val="99"/>
    <w:rPr>
      <w:rFonts w:ascii="Times New Roman" w:hAnsi="Times New Roman" w:eastAsia="宋体" w:cs="Times New Roman"/>
      <w:sz w:val="18"/>
      <w:szCs w:val="18"/>
    </w:rPr>
  </w:style>
  <w:style w:type="character" w:customStyle="1" w:styleId="9">
    <w:name w:val="页脚 Char"/>
    <w:basedOn w:val="4"/>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China</Company>
  <Pages>2</Pages>
  <Words>192</Words>
  <Characters>1100</Characters>
  <Lines>9</Lines>
  <Paragraphs>2</Paragraphs>
  <ScaleCrop>false</ScaleCrop>
  <LinksUpToDate>false</LinksUpToDate>
  <CharactersWithSpaces>1290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2021-01-11T13:38:00Z</dcterms:created>
  <dc:creator>刘艳春</dc:creator>
  <cp:lastModifiedBy>刘艳春</cp:lastModifiedBy>
  <cp:lastPrinted>2021-01-11T07:12:00Z</cp:lastPrinted>
  <dcterms:modified xsi:type="dcterms:W3CDTF">2021-01-11T14:20:50Z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