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Lines="50" w:afterLines="50" w:line="400" w:lineRule="exact"/>
        <w:ind w:firstLine="360" w:firstLineChars="150"/>
        <w:rPr>
          <w:rFonts w:ascii="宋体" w:hAnsi="宋体"/>
          <w:bCs/>
          <w:iCs/>
          <w:sz w:val="24"/>
        </w:rPr>
      </w:pPr>
      <w:r>
        <w:rPr>
          <w:rFonts w:hint="eastAsia" w:ascii="宋体" w:hAnsi="宋体"/>
          <w:bCs/>
          <w:iCs/>
          <w:sz w:val="24"/>
        </w:rPr>
        <w:t>证券代码：000636                           证券简称：风华高科</w:t>
      </w:r>
    </w:p>
    <w:p>
      <w:pPr>
        <w:spacing w:beforeLines="50" w:afterLines="50" w:line="400" w:lineRule="exact"/>
        <w:ind w:firstLine="360" w:firstLineChars="150"/>
        <w:rPr>
          <w:rFonts w:ascii="宋体" w:hAnsi="宋体"/>
          <w:bCs/>
          <w:iCs/>
          <w:sz w:val="24"/>
        </w:rPr>
      </w:pPr>
    </w:p>
    <w:p>
      <w:pPr>
        <w:spacing w:beforeLines="50" w:afterLines="50" w:line="400" w:lineRule="exact"/>
        <w:jc w:val="center"/>
        <w:rPr>
          <w:rFonts w:asciiTheme="majorEastAsia" w:hAnsiTheme="majorEastAsia" w:eastAsiaTheme="majorEastAsia"/>
          <w:b/>
          <w:bCs/>
          <w:iCs/>
          <w:sz w:val="30"/>
          <w:szCs w:val="30"/>
        </w:rPr>
      </w:pPr>
      <w:r>
        <w:rPr>
          <w:rFonts w:hint="eastAsia" w:asciiTheme="majorEastAsia" w:hAnsiTheme="majorEastAsia" w:eastAsiaTheme="majorEastAsia"/>
          <w:b/>
          <w:bCs/>
          <w:iCs/>
          <w:sz w:val="30"/>
          <w:szCs w:val="30"/>
        </w:rPr>
        <w:t>广东风华高新科技股份有限公司</w:t>
      </w:r>
    </w:p>
    <w:p>
      <w:pPr>
        <w:spacing w:beforeLines="50" w:afterLines="50" w:line="400" w:lineRule="exact"/>
        <w:jc w:val="center"/>
        <w:rPr>
          <w:rFonts w:asciiTheme="majorEastAsia" w:hAnsiTheme="majorEastAsia" w:eastAsiaTheme="majorEastAsia"/>
          <w:b/>
          <w:bCs/>
          <w:iCs/>
          <w:sz w:val="30"/>
          <w:szCs w:val="30"/>
        </w:rPr>
      </w:pPr>
      <w:r>
        <w:rPr>
          <w:rFonts w:hint="eastAsia" w:asciiTheme="majorEastAsia" w:hAnsiTheme="majorEastAsia" w:eastAsiaTheme="majorEastAsia"/>
          <w:b/>
          <w:bCs/>
          <w:iCs/>
          <w:sz w:val="30"/>
          <w:szCs w:val="30"/>
        </w:rPr>
        <w:t>投资者关系活动记录表</w:t>
      </w:r>
    </w:p>
    <w:p>
      <w:pPr>
        <w:spacing w:line="400" w:lineRule="exact"/>
        <w:rPr>
          <w:rFonts w:ascii="宋体" w:hAnsi="宋体"/>
          <w:bCs/>
          <w:iCs/>
          <w:sz w:val="24"/>
          <w:szCs w:val="24"/>
        </w:rPr>
      </w:pPr>
      <w:r>
        <w:rPr>
          <w:rFonts w:hint="eastAsia" w:ascii="宋体" w:hAnsi="宋体"/>
          <w:bCs/>
          <w:iCs/>
          <w:sz w:val="24"/>
          <w:szCs w:val="24"/>
        </w:rPr>
        <w:t xml:space="preserve">                                                      编号：2020-00</w:t>
      </w:r>
      <w:r>
        <w:rPr>
          <w:rFonts w:hint="eastAsia" w:ascii="宋体" w:hAnsi="宋体"/>
          <w:bCs/>
          <w:iCs/>
          <w:sz w:val="24"/>
          <w:szCs w:val="24"/>
          <w:lang w:val="en-US" w:eastAsia="zh-CN"/>
        </w:rPr>
        <w:t>3</w:t>
      </w:r>
    </w:p>
    <w:tbl>
      <w:tblPr>
        <w:tblStyle w:val="6"/>
        <w:tblW w:w="9356" w:type="dxa"/>
        <w:tblInd w:w="-459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08"/>
        <w:gridCol w:w="754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08" w:type="dxa"/>
            <w:shd w:val="clear" w:color="auto" w:fill="auto"/>
          </w:tcPr>
          <w:p>
            <w:pPr>
              <w:spacing w:line="480" w:lineRule="atLeast"/>
              <w:rPr>
                <w:rFonts w:ascii="宋体" w:hAnsi="宋体"/>
                <w:b/>
                <w:bCs/>
                <w:iCs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iCs/>
                <w:sz w:val="24"/>
                <w:szCs w:val="24"/>
              </w:rPr>
              <w:t>投资者关系活动类别</w:t>
            </w:r>
          </w:p>
          <w:p>
            <w:pPr>
              <w:spacing w:line="480" w:lineRule="atLeast"/>
              <w:rPr>
                <w:rFonts w:ascii="宋体" w:hAnsi="宋体"/>
                <w:b/>
                <w:bCs/>
                <w:iCs/>
                <w:sz w:val="24"/>
                <w:szCs w:val="24"/>
              </w:rPr>
            </w:pPr>
          </w:p>
        </w:tc>
        <w:tc>
          <w:tcPr>
            <w:tcW w:w="7548" w:type="dxa"/>
            <w:shd w:val="clear" w:color="auto" w:fill="auto"/>
          </w:tcPr>
          <w:p>
            <w:pPr>
              <w:spacing w:line="480" w:lineRule="atLeast"/>
              <w:rPr>
                <w:rFonts w:ascii="宋体" w:hAnsi="宋体"/>
                <w:bCs/>
                <w:iCs/>
                <w:sz w:val="24"/>
                <w:szCs w:val="24"/>
              </w:rPr>
            </w:pPr>
            <w:r>
              <w:rPr>
                <w:rFonts w:hint="eastAsia" w:ascii="宋体" w:hAnsi="宋体"/>
                <w:bCs/>
                <w:iCs/>
                <w:sz w:val="24"/>
                <w:szCs w:val="24"/>
              </w:rPr>
              <w:t>√</w:t>
            </w:r>
            <w:r>
              <w:rPr>
                <w:rFonts w:hint="eastAsia" w:ascii="宋体" w:hAnsi="宋体"/>
                <w:sz w:val="24"/>
                <w:szCs w:val="24"/>
              </w:rPr>
              <w:t xml:space="preserve">特定对象调研        </w:t>
            </w:r>
            <w:r>
              <w:rPr>
                <w:rFonts w:hint="eastAsia" w:ascii="宋体" w:hAnsi="宋体"/>
                <w:bCs/>
                <w:iCs/>
                <w:sz w:val="24"/>
                <w:szCs w:val="24"/>
              </w:rPr>
              <w:t>□</w:t>
            </w:r>
            <w:r>
              <w:rPr>
                <w:rFonts w:hint="eastAsia" w:ascii="宋体" w:hAnsi="宋体"/>
                <w:sz w:val="24"/>
                <w:szCs w:val="24"/>
              </w:rPr>
              <w:t>分析师会议</w:t>
            </w:r>
          </w:p>
          <w:p>
            <w:pPr>
              <w:spacing w:line="480" w:lineRule="atLeast"/>
              <w:rPr>
                <w:rFonts w:ascii="宋体" w:hAnsi="宋体"/>
                <w:bCs/>
                <w:iCs/>
                <w:sz w:val="24"/>
                <w:szCs w:val="24"/>
              </w:rPr>
            </w:pPr>
            <w:r>
              <w:rPr>
                <w:rFonts w:hint="eastAsia" w:ascii="宋体" w:hAnsi="宋体"/>
                <w:bCs/>
                <w:iCs/>
                <w:sz w:val="24"/>
                <w:szCs w:val="24"/>
              </w:rPr>
              <w:t>□</w:t>
            </w:r>
            <w:r>
              <w:rPr>
                <w:rFonts w:hint="eastAsia" w:ascii="宋体" w:hAnsi="宋体"/>
                <w:sz w:val="24"/>
                <w:szCs w:val="24"/>
              </w:rPr>
              <w:t xml:space="preserve">媒体采访            </w:t>
            </w:r>
            <w:r>
              <w:rPr>
                <w:rFonts w:hint="eastAsia" w:ascii="宋体" w:hAnsi="宋体"/>
                <w:bCs/>
                <w:iCs/>
                <w:sz w:val="24"/>
                <w:szCs w:val="24"/>
              </w:rPr>
              <w:t>□</w:t>
            </w:r>
            <w:r>
              <w:rPr>
                <w:rFonts w:hint="eastAsia" w:ascii="宋体" w:hAnsi="宋体"/>
                <w:sz w:val="24"/>
                <w:szCs w:val="24"/>
              </w:rPr>
              <w:t>业绩说明会</w:t>
            </w:r>
          </w:p>
          <w:p>
            <w:pPr>
              <w:spacing w:line="480" w:lineRule="atLeast"/>
              <w:rPr>
                <w:rFonts w:ascii="宋体" w:hAnsi="宋体"/>
                <w:bCs/>
                <w:iCs/>
                <w:sz w:val="24"/>
                <w:szCs w:val="24"/>
              </w:rPr>
            </w:pPr>
            <w:r>
              <w:rPr>
                <w:rFonts w:hint="eastAsia" w:ascii="宋体" w:hAnsi="宋体"/>
                <w:bCs/>
                <w:iCs/>
                <w:sz w:val="24"/>
                <w:szCs w:val="24"/>
              </w:rPr>
              <w:t>□</w:t>
            </w:r>
            <w:r>
              <w:rPr>
                <w:rFonts w:hint="eastAsia" w:ascii="宋体" w:hAnsi="宋体"/>
                <w:sz w:val="24"/>
                <w:szCs w:val="24"/>
              </w:rPr>
              <w:t xml:space="preserve">新闻发布会          </w:t>
            </w:r>
            <w:r>
              <w:rPr>
                <w:rFonts w:hint="eastAsia" w:ascii="宋体" w:hAnsi="宋体"/>
                <w:bCs/>
                <w:iCs/>
                <w:sz w:val="24"/>
                <w:szCs w:val="24"/>
              </w:rPr>
              <w:t>□</w:t>
            </w:r>
            <w:r>
              <w:rPr>
                <w:rFonts w:hint="eastAsia" w:ascii="宋体" w:hAnsi="宋体"/>
                <w:sz w:val="24"/>
                <w:szCs w:val="24"/>
              </w:rPr>
              <w:t>路演活动</w:t>
            </w:r>
          </w:p>
          <w:p>
            <w:pPr>
              <w:tabs>
                <w:tab w:val="left" w:pos="3045"/>
                <w:tab w:val="center" w:pos="3199"/>
              </w:tabs>
              <w:spacing w:line="480" w:lineRule="atLeast"/>
              <w:rPr>
                <w:rFonts w:ascii="宋体" w:hAnsi="宋体"/>
                <w:bCs/>
                <w:iCs/>
                <w:sz w:val="24"/>
                <w:szCs w:val="24"/>
              </w:rPr>
            </w:pPr>
            <w:r>
              <w:rPr>
                <w:rFonts w:hint="eastAsia" w:ascii="宋体" w:hAnsi="宋体"/>
                <w:bCs/>
                <w:iCs/>
                <w:sz w:val="24"/>
                <w:szCs w:val="24"/>
              </w:rPr>
              <w:t>□</w:t>
            </w:r>
            <w:r>
              <w:rPr>
                <w:rFonts w:hint="eastAsia" w:ascii="宋体" w:hAnsi="宋体"/>
                <w:sz w:val="24"/>
                <w:szCs w:val="24"/>
              </w:rPr>
              <w:t>现场参观</w:t>
            </w:r>
            <w:r>
              <w:rPr>
                <w:rFonts w:ascii="宋体" w:hAnsi="宋体"/>
                <w:bCs/>
                <w:iCs/>
                <w:sz w:val="24"/>
                <w:szCs w:val="24"/>
              </w:rPr>
              <w:tab/>
            </w:r>
          </w:p>
          <w:p>
            <w:pPr>
              <w:tabs>
                <w:tab w:val="center" w:pos="3199"/>
              </w:tabs>
              <w:spacing w:line="480" w:lineRule="atLeast"/>
              <w:rPr>
                <w:rFonts w:ascii="宋体" w:hAnsi="宋体"/>
                <w:bCs/>
                <w:iCs/>
                <w:sz w:val="24"/>
                <w:szCs w:val="24"/>
              </w:rPr>
            </w:pPr>
            <w:r>
              <w:rPr>
                <w:rFonts w:hint="eastAsia" w:ascii="宋体" w:hAnsi="宋体"/>
                <w:bCs/>
                <w:iCs/>
                <w:sz w:val="24"/>
                <w:szCs w:val="24"/>
              </w:rPr>
              <w:t>□</w:t>
            </w:r>
            <w:r>
              <w:rPr>
                <w:rFonts w:hint="eastAsia" w:ascii="宋体" w:hAnsi="宋体"/>
                <w:sz w:val="24"/>
                <w:szCs w:val="24"/>
              </w:rPr>
              <w:t>其他 （</w:t>
            </w:r>
            <w:r>
              <w:rPr>
                <w:rFonts w:hint="eastAsia" w:ascii="宋体" w:hAnsi="宋体"/>
                <w:sz w:val="24"/>
                <w:szCs w:val="24"/>
                <w:u w:val="single"/>
              </w:rPr>
              <w:t>请文字说明其他活动内容）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08" w:type="dxa"/>
            <w:shd w:val="clear" w:color="auto" w:fill="auto"/>
          </w:tcPr>
          <w:p>
            <w:pPr>
              <w:spacing w:line="480" w:lineRule="atLeast"/>
              <w:rPr>
                <w:rFonts w:ascii="宋体" w:hAnsi="宋体"/>
                <w:b/>
                <w:bCs/>
                <w:iCs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iCs/>
                <w:sz w:val="24"/>
                <w:szCs w:val="24"/>
              </w:rPr>
              <w:t>参与单位名称</w:t>
            </w:r>
          </w:p>
        </w:tc>
        <w:tc>
          <w:tcPr>
            <w:tcW w:w="7548" w:type="dxa"/>
            <w:shd w:val="clear" w:color="auto" w:fill="auto"/>
          </w:tcPr>
          <w:p>
            <w:pPr>
              <w:spacing w:line="480" w:lineRule="atLeast"/>
              <w:rPr>
                <w:rFonts w:ascii="宋体" w:hAnsi="宋体"/>
                <w:bCs/>
                <w:iCs/>
                <w:sz w:val="24"/>
                <w:szCs w:val="24"/>
              </w:rPr>
            </w:pPr>
            <w:r>
              <w:rPr>
                <w:rFonts w:hint="eastAsia" w:ascii="宋体" w:hAnsi="宋体"/>
                <w:bCs/>
                <w:iCs/>
                <w:sz w:val="24"/>
                <w:szCs w:val="24"/>
                <w:lang w:eastAsia="zh-CN"/>
              </w:rPr>
              <w:t>天风证券、东方证券</w:t>
            </w:r>
            <w:r>
              <w:rPr>
                <w:rFonts w:hint="eastAsia" w:ascii="宋体" w:hAnsi="宋体"/>
                <w:bCs/>
                <w:iCs/>
                <w:sz w:val="24"/>
                <w:szCs w:val="24"/>
              </w:rPr>
              <w:t>、</w:t>
            </w:r>
            <w:r>
              <w:rPr>
                <w:rFonts w:hint="eastAsia" w:ascii="宋体" w:hAnsi="宋体"/>
                <w:bCs/>
                <w:iCs/>
                <w:sz w:val="24"/>
                <w:szCs w:val="24"/>
                <w:lang w:eastAsia="zh-CN"/>
              </w:rPr>
              <w:t>鼎萨投资、金友创智、熙山资本、摩根士丹利、雷钧资产等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08" w:type="dxa"/>
            <w:shd w:val="clear" w:color="auto" w:fill="auto"/>
          </w:tcPr>
          <w:p>
            <w:pPr>
              <w:spacing w:line="480" w:lineRule="atLeast"/>
              <w:rPr>
                <w:rFonts w:ascii="宋体" w:hAnsi="宋体"/>
                <w:b/>
                <w:bCs/>
                <w:iCs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iCs/>
                <w:sz w:val="24"/>
                <w:szCs w:val="24"/>
              </w:rPr>
              <w:t>时间</w:t>
            </w:r>
          </w:p>
        </w:tc>
        <w:tc>
          <w:tcPr>
            <w:tcW w:w="7548" w:type="dxa"/>
            <w:shd w:val="clear" w:color="auto" w:fill="auto"/>
          </w:tcPr>
          <w:p>
            <w:pPr>
              <w:spacing w:line="480" w:lineRule="atLeast"/>
              <w:rPr>
                <w:rFonts w:ascii="宋体" w:hAnsi="宋体"/>
                <w:bCs/>
                <w:iCs/>
                <w:sz w:val="24"/>
                <w:szCs w:val="24"/>
              </w:rPr>
            </w:pPr>
            <w:r>
              <w:rPr>
                <w:rFonts w:hint="eastAsia" w:ascii="宋体" w:hAnsi="宋体"/>
                <w:bCs/>
                <w:iCs/>
                <w:sz w:val="24"/>
                <w:szCs w:val="24"/>
              </w:rPr>
              <w:t>2020年</w:t>
            </w:r>
            <w:r>
              <w:rPr>
                <w:rFonts w:hint="eastAsia" w:ascii="宋体" w:hAnsi="宋体"/>
                <w:bCs/>
                <w:iCs/>
                <w:sz w:val="24"/>
                <w:szCs w:val="24"/>
                <w:lang w:val="en-US" w:eastAsia="zh-CN"/>
              </w:rPr>
              <w:t>9</w:t>
            </w:r>
            <w:r>
              <w:rPr>
                <w:rFonts w:hint="eastAsia" w:ascii="宋体" w:hAnsi="宋体"/>
                <w:bCs/>
                <w:iCs/>
                <w:sz w:val="24"/>
                <w:szCs w:val="24"/>
              </w:rPr>
              <w:t>月</w:t>
            </w:r>
            <w:r>
              <w:rPr>
                <w:rFonts w:hint="eastAsia" w:ascii="宋体" w:hAnsi="宋体"/>
                <w:bCs/>
                <w:iCs/>
                <w:sz w:val="24"/>
                <w:szCs w:val="24"/>
                <w:lang w:val="en-US" w:eastAsia="zh-CN"/>
              </w:rPr>
              <w:t>1</w:t>
            </w:r>
            <w:r>
              <w:rPr>
                <w:rFonts w:hint="eastAsia" w:ascii="宋体" w:hAnsi="宋体"/>
                <w:bCs/>
                <w:iCs/>
                <w:sz w:val="24"/>
                <w:szCs w:val="24"/>
              </w:rPr>
              <w:t>日下午15:00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08" w:type="dxa"/>
            <w:shd w:val="clear" w:color="auto" w:fill="auto"/>
          </w:tcPr>
          <w:p>
            <w:pPr>
              <w:spacing w:line="480" w:lineRule="atLeast"/>
              <w:rPr>
                <w:rFonts w:ascii="宋体" w:hAnsi="宋体"/>
                <w:b/>
                <w:bCs/>
                <w:iCs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iCs/>
                <w:sz w:val="24"/>
                <w:szCs w:val="24"/>
              </w:rPr>
              <w:t>地点</w:t>
            </w:r>
          </w:p>
        </w:tc>
        <w:tc>
          <w:tcPr>
            <w:tcW w:w="7548" w:type="dxa"/>
            <w:shd w:val="clear" w:color="auto" w:fill="auto"/>
          </w:tcPr>
          <w:p>
            <w:pPr>
              <w:spacing w:line="480" w:lineRule="atLeast"/>
              <w:rPr>
                <w:rFonts w:ascii="宋体" w:hAnsi="宋体"/>
                <w:bCs/>
                <w:iCs/>
                <w:sz w:val="24"/>
                <w:szCs w:val="24"/>
              </w:rPr>
            </w:pPr>
            <w:r>
              <w:rPr>
                <w:rFonts w:hint="eastAsia" w:ascii="宋体" w:hAnsi="宋体"/>
                <w:bCs/>
                <w:iCs/>
                <w:sz w:val="24"/>
                <w:szCs w:val="24"/>
              </w:rPr>
              <w:t>广东省肇庆市风华路18号风华电子城公司会议室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08" w:type="dxa"/>
            <w:shd w:val="clear" w:color="auto" w:fill="auto"/>
          </w:tcPr>
          <w:p>
            <w:pPr>
              <w:spacing w:line="480" w:lineRule="atLeast"/>
              <w:rPr>
                <w:rFonts w:ascii="宋体" w:hAnsi="宋体"/>
                <w:b/>
                <w:bCs/>
                <w:iCs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iCs/>
                <w:sz w:val="24"/>
                <w:szCs w:val="24"/>
              </w:rPr>
              <w:t>上市公司接待人员姓名</w:t>
            </w:r>
          </w:p>
        </w:tc>
        <w:tc>
          <w:tcPr>
            <w:tcW w:w="7548" w:type="dxa"/>
            <w:shd w:val="clear" w:color="auto" w:fill="auto"/>
            <w:vAlign w:val="center"/>
          </w:tcPr>
          <w:p>
            <w:pPr>
              <w:spacing w:line="480" w:lineRule="atLeast"/>
              <w:rPr>
                <w:rFonts w:ascii="宋体" w:hAnsi="宋体"/>
                <w:bCs/>
                <w:iCs/>
                <w:sz w:val="24"/>
                <w:szCs w:val="24"/>
              </w:rPr>
            </w:pPr>
            <w:r>
              <w:rPr>
                <w:rFonts w:hint="eastAsia" w:ascii="宋体" w:hAnsi="宋体"/>
                <w:bCs/>
                <w:iCs/>
                <w:sz w:val="24"/>
                <w:szCs w:val="24"/>
              </w:rPr>
              <w:t>董事会秘书陈绪运先生及投资与证券事务部工作人员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57" w:hRule="atLeast"/>
        </w:trPr>
        <w:tc>
          <w:tcPr>
            <w:tcW w:w="1808" w:type="dxa"/>
            <w:shd w:val="clear" w:color="auto" w:fill="auto"/>
            <w:vAlign w:val="center"/>
          </w:tcPr>
          <w:p>
            <w:pPr>
              <w:spacing w:line="480" w:lineRule="atLeast"/>
              <w:rPr>
                <w:rFonts w:ascii="宋体" w:hAnsi="宋体"/>
                <w:b/>
                <w:bCs/>
                <w:iCs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iCs/>
                <w:sz w:val="24"/>
                <w:szCs w:val="24"/>
              </w:rPr>
              <w:t>投资者关系活动主要内容介绍</w:t>
            </w:r>
          </w:p>
          <w:p>
            <w:pPr>
              <w:spacing w:line="480" w:lineRule="atLeast"/>
              <w:rPr>
                <w:rFonts w:ascii="宋体" w:hAnsi="宋体"/>
                <w:b/>
                <w:bCs/>
                <w:iCs/>
                <w:sz w:val="24"/>
                <w:szCs w:val="24"/>
              </w:rPr>
            </w:pPr>
          </w:p>
        </w:tc>
        <w:tc>
          <w:tcPr>
            <w:tcW w:w="7548" w:type="dxa"/>
            <w:shd w:val="clear" w:color="auto" w:fill="auto"/>
          </w:tcPr>
          <w:p>
            <w:pPr>
              <w:spacing w:line="480" w:lineRule="atLeast"/>
              <w:ind w:firstLine="465"/>
              <w:rPr>
                <w:rFonts w:ascii="宋体" w:hAnsi="宋体"/>
                <w:b/>
                <w:bCs/>
                <w:iCs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iCs/>
                <w:sz w:val="24"/>
                <w:szCs w:val="24"/>
              </w:rPr>
              <w:t>问题</w:t>
            </w:r>
            <w:r>
              <w:rPr>
                <w:rFonts w:hint="eastAsia" w:ascii="宋体" w:hAnsi="宋体"/>
                <w:b/>
                <w:bCs/>
                <w:iCs/>
                <w:sz w:val="24"/>
                <w:szCs w:val="24"/>
                <w:lang w:val="en-US" w:eastAsia="zh-CN"/>
              </w:rPr>
              <w:t>1</w:t>
            </w:r>
            <w:r>
              <w:rPr>
                <w:rFonts w:hint="eastAsia" w:ascii="宋体" w:hAnsi="宋体"/>
                <w:b/>
                <w:bCs/>
                <w:iCs/>
                <w:sz w:val="24"/>
                <w:szCs w:val="24"/>
              </w:rPr>
              <w:t>：</w:t>
            </w:r>
            <w:r>
              <w:rPr>
                <w:rFonts w:hint="eastAsia" w:ascii="宋体" w:hAnsi="宋体"/>
                <w:b/>
                <w:bCs/>
                <w:iCs/>
                <w:sz w:val="24"/>
                <w:szCs w:val="24"/>
                <w:lang w:eastAsia="zh-CN"/>
              </w:rPr>
              <w:t>公司</w:t>
            </w:r>
            <w:r>
              <w:rPr>
                <w:rFonts w:hint="eastAsia" w:ascii="宋体" w:hAnsi="宋体"/>
                <w:b/>
                <w:bCs/>
                <w:iCs/>
                <w:sz w:val="24"/>
                <w:szCs w:val="24"/>
              </w:rPr>
              <w:t>56亿只MLCC扩产项目</w:t>
            </w:r>
            <w:r>
              <w:rPr>
                <w:rFonts w:hint="eastAsia" w:ascii="宋体" w:hAnsi="宋体"/>
                <w:b/>
                <w:bCs/>
                <w:iCs/>
                <w:sz w:val="24"/>
                <w:szCs w:val="24"/>
                <w:lang w:eastAsia="zh-CN"/>
              </w:rPr>
              <w:t>及祥和工业园</w:t>
            </w:r>
            <w:r>
              <w:rPr>
                <w:rFonts w:hint="eastAsia" w:ascii="宋体" w:hAnsi="宋体"/>
                <w:b/>
                <w:bCs/>
                <w:iCs/>
                <w:sz w:val="24"/>
                <w:szCs w:val="24"/>
              </w:rPr>
              <w:t>项目进度如何</w:t>
            </w:r>
            <w:r>
              <w:rPr>
                <w:rFonts w:hint="eastAsia" w:ascii="宋体" w:hAnsi="宋体"/>
                <w:b/>
                <w:bCs/>
                <w:iCs/>
                <w:sz w:val="24"/>
                <w:szCs w:val="24"/>
                <w:lang w:eastAsia="zh-CN"/>
              </w:rPr>
              <w:t>？</w:t>
            </w:r>
          </w:p>
          <w:p>
            <w:pPr>
              <w:spacing w:line="360" w:lineRule="auto"/>
              <w:ind w:firstLine="480" w:firstLineChars="200"/>
              <w:jc w:val="left"/>
              <w:rPr>
                <w:rFonts w:ascii="宋体" w:hAnsi="宋体"/>
                <w:bCs/>
                <w:iCs/>
                <w:sz w:val="24"/>
                <w:szCs w:val="24"/>
              </w:rPr>
            </w:pPr>
            <w:r>
              <w:rPr>
                <w:rFonts w:hint="eastAsia" w:ascii="宋体" w:hAnsi="宋体"/>
                <w:bCs/>
                <w:iCs/>
                <w:sz w:val="24"/>
                <w:szCs w:val="24"/>
              </w:rPr>
              <w:t>答：</w:t>
            </w:r>
            <w:r>
              <w:rPr>
                <w:rFonts w:ascii="宋体" w:hAnsi="宋体"/>
                <w:bCs/>
                <w:iCs/>
                <w:sz w:val="24"/>
                <w:szCs w:val="24"/>
              </w:rPr>
              <w:t xml:space="preserve"> </w:t>
            </w:r>
            <w:r>
              <w:rPr>
                <w:rFonts w:hint="eastAsia" w:ascii="宋体" w:hAnsi="宋体"/>
                <w:bCs/>
                <w:iCs/>
                <w:sz w:val="24"/>
                <w:szCs w:val="24"/>
              </w:rPr>
              <w:t>公司于2018年8月31日及2020年3月13日分别披露了《关于投资新增月产56亿只MLCC技改扩产项目的公告》和《</w:t>
            </w:r>
            <w:r>
              <w:rPr>
                <w:rFonts w:ascii="宋体" w:hAnsi="宋体"/>
                <w:bCs/>
                <w:iCs/>
                <w:sz w:val="24"/>
                <w:szCs w:val="24"/>
              </w:rPr>
              <w:t>关于投资建设祥和工业园高端电容基地项目的公告</w:t>
            </w:r>
            <w:r>
              <w:rPr>
                <w:rFonts w:hint="eastAsia" w:ascii="宋体" w:hAnsi="宋体"/>
                <w:bCs/>
                <w:iCs/>
                <w:sz w:val="24"/>
                <w:szCs w:val="24"/>
              </w:rPr>
              <w:t>》。</w:t>
            </w:r>
            <w:r>
              <w:rPr>
                <w:rFonts w:hint="eastAsia" w:ascii="宋体" w:hAnsi="宋体"/>
                <w:bCs/>
                <w:iCs/>
                <w:sz w:val="24"/>
                <w:szCs w:val="24"/>
                <w:lang w:eastAsia="zh-CN"/>
              </w:rPr>
              <w:t>截至</w:t>
            </w:r>
            <w:r>
              <w:rPr>
                <w:rFonts w:hint="eastAsia" w:ascii="宋体" w:hAnsi="宋体"/>
                <w:bCs/>
                <w:iCs/>
                <w:sz w:val="24"/>
                <w:szCs w:val="24"/>
                <w:lang w:val="en-US" w:eastAsia="zh-CN"/>
              </w:rPr>
              <w:t>2020年上半年，新增月产56亿只MLCC技改扩产项目投资进度为82.69%，</w:t>
            </w:r>
            <w:r>
              <w:rPr>
                <w:rFonts w:hint="eastAsia" w:ascii="宋体" w:hAnsi="宋体"/>
                <w:bCs/>
                <w:iCs/>
                <w:sz w:val="24"/>
                <w:szCs w:val="24"/>
              </w:rPr>
              <w:t>目前</w:t>
            </w:r>
            <w:r>
              <w:rPr>
                <w:rFonts w:hint="eastAsia" w:ascii="宋体" w:hAnsi="宋体"/>
                <w:bCs/>
                <w:iCs/>
                <w:sz w:val="24"/>
                <w:szCs w:val="24"/>
                <w:lang w:eastAsia="zh-CN"/>
              </w:rPr>
              <w:t>生产</w:t>
            </w:r>
            <w:r>
              <w:rPr>
                <w:rFonts w:hint="eastAsia" w:ascii="宋体" w:hAnsi="宋体"/>
                <w:bCs/>
                <w:iCs/>
                <w:sz w:val="24"/>
                <w:szCs w:val="24"/>
              </w:rPr>
              <w:t>设备</w:t>
            </w:r>
            <w:r>
              <w:rPr>
                <w:rFonts w:hint="eastAsia" w:ascii="宋体" w:hAnsi="宋体"/>
                <w:bCs/>
                <w:iCs/>
                <w:sz w:val="24"/>
                <w:szCs w:val="24"/>
                <w:lang w:eastAsia="zh-CN"/>
              </w:rPr>
              <w:t>已到位正处于安装</w:t>
            </w:r>
            <w:r>
              <w:rPr>
                <w:rFonts w:hint="eastAsia" w:ascii="宋体" w:hAnsi="宋体"/>
                <w:bCs/>
                <w:iCs/>
                <w:sz w:val="24"/>
                <w:szCs w:val="24"/>
              </w:rPr>
              <w:t>调试</w:t>
            </w:r>
            <w:r>
              <w:rPr>
                <w:rFonts w:hint="eastAsia" w:ascii="宋体" w:hAnsi="宋体"/>
                <w:bCs/>
                <w:iCs/>
                <w:sz w:val="24"/>
                <w:szCs w:val="24"/>
                <w:lang w:eastAsia="zh-CN"/>
              </w:rPr>
              <w:t>阶段。</w:t>
            </w:r>
            <w:r>
              <w:rPr>
                <w:rFonts w:hint="eastAsia" w:ascii="宋体" w:hAnsi="宋体"/>
                <w:bCs/>
                <w:iCs/>
                <w:sz w:val="24"/>
                <w:szCs w:val="24"/>
                <w:lang w:val="en-US" w:eastAsia="zh-CN"/>
              </w:rPr>
              <w:t>祥和工业园高端电容基地建设项目投资进度为22.47%，</w:t>
            </w:r>
            <w:r>
              <w:rPr>
                <w:rFonts w:hint="eastAsia" w:ascii="宋体" w:hAnsi="宋体"/>
                <w:bCs/>
                <w:iCs/>
                <w:sz w:val="24"/>
                <w:szCs w:val="24"/>
                <w:lang w:eastAsia="zh-CN"/>
              </w:rPr>
              <w:t>项目</w:t>
            </w:r>
            <w:r>
              <w:rPr>
                <w:rFonts w:hint="eastAsia" w:ascii="宋体" w:hAnsi="宋体"/>
                <w:bCs/>
                <w:iCs/>
                <w:sz w:val="24"/>
                <w:szCs w:val="24"/>
              </w:rPr>
              <w:t>一期</w:t>
            </w:r>
            <w:r>
              <w:rPr>
                <w:rFonts w:hint="eastAsia" w:ascii="宋体" w:hAnsi="宋体"/>
                <w:bCs/>
                <w:iCs/>
                <w:sz w:val="24"/>
                <w:szCs w:val="24"/>
                <w:lang w:eastAsia="zh-CN"/>
              </w:rPr>
              <w:t>生产</w:t>
            </w:r>
            <w:r>
              <w:rPr>
                <w:rFonts w:hint="eastAsia" w:ascii="宋体" w:hAnsi="宋体"/>
                <w:bCs/>
                <w:iCs/>
                <w:sz w:val="24"/>
                <w:szCs w:val="24"/>
              </w:rPr>
              <w:t>设备已完成采购招标</w:t>
            </w:r>
            <w:r>
              <w:rPr>
                <w:rFonts w:hint="eastAsia" w:ascii="宋体" w:hAnsi="宋体"/>
                <w:bCs/>
                <w:iCs/>
                <w:sz w:val="24"/>
                <w:szCs w:val="24"/>
                <w:lang w:eastAsia="zh-CN"/>
              </w:rPr>
              <w:t>流程</w:t>
            </w:r>
            <w:r>
              <w:rPr>
                <w:rFonts w:hint="eastAsia" w:ascii="宋体" w:hAnsi="宋体"/>
                <w:bCs/>
                <w:iCs/>
                <w:sz w:val="24"/>
                <w:szCs w:val="24"/>
              </w:rPr>
              <w:t>，</w:t>
            </w:r>
            <w:r>
              <w:rPr>
                <w:rFonts w:hint="eastAsia" w:ascii="宋体" w:hAnsi="宋体"/>
                <w:bCs/>
                <w:iCs/>
                <w:sz w:val="24"/>
                <w:szCs w:val="24"/>
                <w:lang w:eastAsia="zh-CN"/>
              </w:rPr>
              <w:t>目前正在对项目</w:t>
            </w:r>
            <w:r>
              <w:rPr>
                <w:rFonts w:ascii="宋体" w:hAnsi="宋体"/>
                <w:bCs/>
                <w:iCs/>
                <w:sz w:val="24"/>
                <w:szCs w:val="24"/>
              </w:rPr>
              <w:t>一期</w:t>
            </w:r>
            <w:r>
              <w:rPr>
                <w:rFonts w:hint="eastAsia" w:ascii="宋体" w:hAnsi="宋体"/>
                <w:bCs/>
                <w:iCs/>
                <w:sz w:val="24"/>
                <w:szCs w:val="24"/>
                <w:lang w:eastAsia="zh-CN"/>
              </w:rPr>
              <w:t>生产</w:t>
            </w:r>
            <w:r>
              <w:rPr>
                <w:rFonts w:ascii="宋体" w:hAnsi="宋体"/>
                <w:bCs/>
                <w:iCs/>
                <w:sz w:val="24"/>
                <w:szCs w:val="24"/>
              </w:rPr>
              <w:t>厂房</w:t>
            </w:r>
            <w:r>
              <w:rPr>
                <w:rFonts w:hint="eastAsia" w:ascii="宋体" w:hAnsi="宋体"/>
                <w:bCs/>
                <w:iCs/>
                <w:sz w:val="24"/>
                <w:szCs w:val="24"/>
                <w:lang w:eastAsia="zh-CN"/>
              </w:rPr>
              <w:t>进行</w:t>
            </w:r>
            <w:r>
              <w:rPr>
                <w:rFonts w:hint="eastAsia" w:ascii="宋体" w:hAnsi="宋体"/>
                <w:bCs/>
                <w:iCs/>
                <w:sz w:val="24"/>
                <w:szCs w:val="24"/>
              </w:rPr>
              <w:t>加固</w:t>
            </w:r>
            <w:r>
              <w:rPr>
                <w:rFonts w:hint="eastAsia" w:ascii="宋体" w:hAnsi="宋体"/>
                <w:bCs/>
                <w:iCs/>
                <w:sz w:val="24"/>
                <w:szCs w:val="24"/>
                <w:lang w:eastAsia="zh-CN"/>
              </w:rPr>
              <w:t>改造及</w:t>
            </w:r>
            <w:r>
              <w:rPr>
                <w:rFonts w:hint="eastAsia" w:ascii="宋体" w:hAnsi="宋体"/>
                <w:bCs/>
                <w:iCs/>
                <w:sz w:val="24"/>
                <w:szCs w:val="24"/>
              </w:rPr>
              <w:t>装修</w:t>
            </w:r>
            <w:r>
              <w:rPr>
                <w:rFonts w:hint="eastAsia" w:ascii="宋体" w:hAnsi="宋体"/>
                <w:bCs/>
                <w:iCs/>
                <w:sz w:val="24"/>
                <w:szCs w:val="24"/>
                <w:lang w:eastAsia="zh-CN"/>
              </w:rPr>
              <w:t>作业</w:t>
            </w:r>
            <w:r>
              <w:rPr>
                <w:rFonts w:ascii="宋体" w:hAnsi="宋体"/>
                <w:bCs/>
                <w:iCs/>
                <w:sz w:val="24"/>
                <w:szCs w:val="24"/>
              </w:rPr>
              <w:t>。</w:t>
            </w:r>
          </w:p>
          <w:p>
            <w:pPr>
              <w:spacing w:line="360" w:lineRule="auto"/>
              <w:ind w:firstLine="482" w:firstLineChars="200"/>
              <w:jc w:val="left"/>
              <w:rPr>
                <w:rFonts w:hint="eastAsia" w:ascii="宋体" w:hAnsi="宋体"/>
                <w:b/>
                <w:bCs/>
                <w:iCs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b/>
                <w:bCs/>
                <w:iCs/>
                <w:sz w:val="24"/>
                <w:szCs w:val="24"/>
              </w:rPr>
              <w:t>问题</w:t>
            </w:r>
            <w:r>
              <w:rPr>
                <w:rFonts w:hint="eastAsia" w:ascii="宋体" w:hAnsi="宋体"/>
                <w:b/>
                <w:bCs/>
                <w:iCs/>
                <w:sz w:val="24"/>
                <w:szCs w:val="24"/>
                <w:lang w:val="en-US" w:eastAsia="zh-CN"/>
              </w:rPr>
              <w:t>2</w:t>
            </w:r>
            <w:r>
              <w:rPr>
                <w:rFonts w:hint="eastAsia" w:ascii="宋体" w:hAnsi="宋体"/>
                <w:b/>
                <w:bCs/>
                <w:iCs/>
                <w:sz w:val="24"/>
                <w:szCs w:val="24"/>
              </w:rPr>
              <w:t>：</w:t>
            </w:r>
            <w:r>
              <w:rPr>
                <w:rFonts w:hint="eastAsia" w:ascii="宋体" w:hAnsi="宋体"/>
                <w:b/>
                <w:bCs/>
                <w:iCs/>
                <w:sz w:val="24"/>
                <w:szCs w:val="24"/>
                <w:lang w:val="en-US" w:eastAsia="zh-CN"/>
              </w:rPr>
              <w:t>公司核心产品的自主研发能力如何？</w:t>
            </w:r>
          </w:p>
          <w:p>
            <w:pPr>
              <w:spacing w:line="480" w:lineRule="atLeast"/>
              <w:ind w:firstLine="480" w:firstLineChars="200"/>
              <w:rPr>
                <w:rFonts w:hint="eastAsia" w:ascii="宋体" w:hAnsi="宋体"/>
                <w:b/>
                <w:bCs/>
                <w:iCs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bCs/>
                <w:iCs/>
                <w:sz w:val="24"/>
                <w:szCs w:val="24"/>
              </w:rPr>
              <w:t>答：</w:t>
            </w: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公司自成立以来持续加大对技术研发投入，构建了以风华研究院为技术研发、储备核心，以各子分公司二级研究应用中心为支撑，以车间技术小组为基础的产业技术研发体系，并持续加强与国内外先进科研院所等机构开展合作，形成了产、学、研、用相结合的创新体系，确保了公司产品、技术在国内的领先优势和国际市场的竞争力。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>公司具备自主研发生产能力</w:t>
            </w:r>
            <w:r>
              <w:rPr>
                <w:rFonts w:hint="eastAsia" w:ascii="宋体" w:hAnsi="宋体" w:cs="宋体"/>
                <w:sz w:val="24"/>
                <w:szCs w:val="24"/>
                <w:lang w:eastAsia="zh-CN"/>
              </w:rPr>
              <w:t>，拥有完整的技术、工艺、研发体系。</w:t>
            </w:r>
          </w:p>
          <w:p>
            <w:pPr>
              <w:numPr>
                <w:ilvl w:val="0"/>
                <w:numId w:val="0"/>
              </w:numPr>
              <w:spacing w:line="480" w:lineRule="atLeast"/>
              <w:ind w:firstLine="482" w:firstLineChars="200"/>
              <w:rPr>
                <w:rFonts w:hint="eastAsia" w:ascii="宋体" w:hAnsi="宋体"/>
                <w:b/>
                <w:bCs/>
                <w:iCs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b/>
                <w:bCs/>
                <w:iCs/>
                <w:sz w:val="24"/>
                <w:szCs w:val="24"/>
              </w:rPr>
              <w:t>问题</w:t>
            </w:r>
            <w:r>
              <w:rPr>
                <w:rFonts w:hint="eastAsia" w:ascii="宋体" w:hAnsi="宋体"/>
                <w:b/>
                <w:bCs/>
                <w:iCs/>
                <w:sz w:val="24"/>
                <w:szCs w:val="24"/>
                <w:lang w:val="en-US" w:eastAsia="zh-CN"/>
              </w:rPr>
              <w:t>3</w:t>
            </w:r>
            <w:r>
              <w:rPr>
                <w:rFonts w:hint="eastAsia" w:ascii="宋体" w:hAnsi="宋体"/>
                <w:b/>
                <w:bCs/>
                <w:iCs/>
                <w:sz w:val="24"/>
                <w:szCs w:val="24"/>
              </w:rPr>
              <w:t>：</w:t>
            </w:r>
            <w:r>
              <w:rPr>
                <w:rFonts w:hint="eastAsia" w:ascii="宋体" w:hAnsi="宋体"/>
                <w:b/>
                <w:bCs/>
                <w:iCs/>
                <w:sz w:val="24"/>
                <w:szCs w:val="24"/>
                <w:lang w:val="en-US" w:eastAsia="zh-CN"/>
              </w:rPr>
              <w:t>公司MLCC产品生产周期多长？</w:t>
            </w:r>
          </w:p>
          <w:p>
            <w:pPr>
              <w:numPr>
                <w:ilvl w:val="0"/>
                <w:numId w:val="0"/>
              </w:numPr>
              <w:spacing w:line="480" w:lineRule="atLeast"/>
              <w:ind w:firstLine="480"/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bCs/>
                <w:iCs/>
                <w:sz w:val="24"/>
                <w:szCs w:val="24"/>
              </w:rPr>
              <w:t>答：</w:t>
            </w: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公司MLCC产品生产周期为2-3周，不同规格的MLCC产品生产周期略有差异。</w:t>
            </w:r>
          </w:p>
          <w:p>
            <w:pPr>
              <w:numPr>
                <w:ilvl w:val="0"/>
                <w:numId w:val="0"/>
              </w:numPr>
              <w:spacing w:line="480" w:lineRule="atLeast"/>
              <w:ind w:firstLine="482" w:firstLineChars="200"/>
              <w:rPr>
                <w:rFonts w:hint="eastAsia" w:ascii="宋体" w:hAnsi="宋体"/>
                <w:b/>
                <w:bCs/>
                <w:iCs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b/>
                <w:bCs/>
                <w:iCs/>
                <w:sz w:val="24"/>
                <w:szCs w:val="24"/>
              </w:rPr>
              <w:t>问题</w:t>
            </w:r>
            <w:r>
              <w:rPr>
                <w:rFonts w:hint="eastAsia" w:ascii="宋体" w:hAnsi="宋体"/>
                <w:b/>
                <w:bCs/>
                <w:iCs/>
                <w:sz w:val="24"/>
                <w:szCs w:val="24"/>
                <w:lang w:val="en-US" w:eastAsia="zh-CN"/>
              </w:rPr>
              <w:t>4</w:t>
            </w:r>
            <w:bookmarkStart w:id="0" w:name="_GoBack"/>
            <w:bookmarkEnd w:id="0"/>
            <w:r>
              <w:rPr>
                <w:rFonts w:hint="eastAsia" w:ascii="宋体" w:hAnsi="宋体"/>
                <w:b/>
                <w:bCs/>
                <w:iCs/>
                <w:sz w:val="24"/>
                <w:szCs w:val="24"/>
              </w:rPr>
              <w:t>：</w:t>
            </w:r>
            <w:r>
              <w:rPr>
                <w:rFonts w:hint="eastAsia" w:ascii="宋体" w:hAnsi="宋体"/>
                <w:b/>
                <w:bCs/>
                <w:iCs/>
                <w:sz w:val="24"/>
                <w:szCs w:val="24"/>
                <w:lang w:val="en-US" w:eastAsia="zh-CN"/>
              </w:rPr>
              <w:t>公司对奈电科技发展有什么规划？</w:t>
            </w:r>
          </w:p>
          <w:p>
            <w:pPr>
              <w:numPr>
                <w:ilvl w:val="0"/>
                <w:numId w:val="0"/>
              </w:numPr>
              <w:spacing w:line="480" w:lineRule="atLeast"/>
              <w:ind w:firstLine="480"/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答：</w:t>
            </w:r>
            <w:r>
              <w:rPr>
                <w:rFonts w:hint="eastAsia" w:ascii="宋体" w:hAnsi="宋体" w:cs="宋体"/>
                <w:sz w:val="24"/>
                <w:szCs w:val="24"/>
                <w:lang w:eastAsia="zh-CN"/>
              </w:rPr>
              <w:t>公司于</w:t>
            </w:r>
            <w:r>
              <w:rPr>
                <w:rFonts w:ascii="宋体" w:hAnsi="宋体" w:eastAsia="宋体" w:cs="宋体"/>
                <w:sz w:val="24"/>
                <w:szCs w:val="24"/>
              </w:rPr>
              <w:t>2020年8月7日召开的董事会</w:t>
            </w:r>
            <w:r>
              <w:rPr>
                <w:rFonts w:hint="eastAsia" w:ascii="宋体" w:hAnsi="宋体" w:cs="宋体"/>
                <w:sz w:val="24"/>
                <w:szCs w:val="24"/>
                <w:lang w:eastAsia="zh-CN"/>
              </w:rPr>
              <w:t>审议通过了</w:t>
            </w:r>
            <w:r>
              <w:rPr>
                <w:rFonts w:ascii="宋体" w:hAnsi="宋体" w:eastAsia="宋体" w:cs="宋体"/>
                <w:sz w:val="24"/>
                <w:szCs w:val="24"/>
              </w:rPr>
              <w:t>《关于公司拟终止公开挂牌转让奈电软性科技电子（珠海）有限公司80%股权的议案》</w:t>
            </w:r>
            <w:r>
              <w:rPr>
                <w:rFonts w:hint="eastAsia" w:ascii="宋体" w:hAnsi="宋体" w:cs="宋体"/>
                <w:sz w:val="24"/>
                <w:szCs w:val="24"/>
                <w:lang w:eastAsia="zh-CN"/>
              </w:rPr>
              <w:t>，上述议案</w:t>
            </w:r>
            <w:r>
              <w:rPr>
                <w:rFonts w:ascii="宋体" w:hAnsi="宋体" w:eastAsia="宋体" w:cs="宋体"/>
                <w:sz w:val="24"/>
                <w:szCs w:val="24"/>
              </w:rPr>
              <w:t>尚需提交公司股东大会审议</w:t>
            </w:r>
            <w:r>
              <w:rPr>
                <w:rFonts w:hint="eastAsia" w:ascii="宋体" w:hAnsi="宋体" w:cs="宋体"/>
                <w:sz w:val="24"/>
                <w:szCs w:val="24"/>
                <w:lang w:eastAsia="zh-CN"/>
              </w:rPr>
              <w:t>。目前</w:t>
            </w:r>
            <w:r>
              <w:rPr>
                <w:rFonts w:ascii="宋体" w:hAnsi="宋体" w:eastAsia="宋体" w:cs="宋体"/>
                <w:sz w:val="24"/>
                <w:szCs w:val="24"/>
              </w:rPr>
              <w:t>公司</w:t>
            </w:r>
            <w:r>
              <w:rPr>
                <w:rFonts w:hint="eastAsia" w:ascii="宋体" w:hAnsi="宋体" w:cs="宋体"/>
                <w:sz w:val="24"/>
                <w:szCs w:val="24"/>
                <w:lang w:eastAsia="zh-CN"/>
              </w:rPr>
              <w:t>正</w:t>
            </w:r>
            <w:r>
              <w:rPr>
                <w:rFonts w:ascii="宋体" w:hAnsi="宋体" w:eastAsia="宋体" w:cs="宋体"/>
                <w:sz w:val="24"/>
                <w:szCs w:val="24"/>
              </w:rPr>
              <w:t>进一步强化对奈电科技管控和改革创新，加快技改投入，</w:t>
            </w:r>
            <w:r>
              <w:rPr>
                <w:rFonts w:hint="eastAsia" w:ascii="宋体" w:hAnsi="宋体" w:cs="宋体"/>
                <w:sz w:val="24"/>
                <w:szCs w:val="24"/>
                <w:lang w:eastAsia="zh-CN"/>
              </w:rPr>
              <w:t>优化调整其产品结构，</w:t>
            </w:r>
            <w:r>
              <w:rPr>
                <w:rFonts w:ascii="宋体" w:hAnsi="宋体" w:eastAsia="宋体" w:cs="宋体"/>
                <w:sz w:val="24"/>
                <w:szCs w:val="24"/>
              </w:rPr>
              <w:t>促进奈电科技转型发展。</w:t>
            </w:r>
            <w:r>
              <w:rPr>
                <w:rFonts w:hint="eastAsia" w:ascii="宋体" w:hAnsi="宋体" w:cs="宋体"/>
                <w:sz w:val="24"/>
                <w:szCs w:val="24"/>
                <w:lang w:eastAsia="zh-CN"/>
              </w:rPr>
              <w:t>具体情况详见</w:t>
            </w: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公司于2020年8月10日发布的《</w:t>
            </w: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fldChar w:fldCharType="begin"/>
            </w: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instrText xml:space="preserve"> HYPERLINK "http://www.cninfo.com.cn/new/disclosure/detail?plate=szse&amp;orgId=gssz0000636&amp;stockCode=000636&amp;announcementId=1208144676&amp;announcementTime=2020-08-10" \t "http://www.cninfo.com.cn/new/disclosure/_blank" </w:instrText>
            </w: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fldChar w:fldCharType="separate"/>
            </w: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关于拟终止公开挂牌转让奈电软性科技电子（珠海）有限公司80%股权的公告》。</w:t>
            </w: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fldChar w:fldCharType="end"/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08" w:type="dxa"/>
            <w:shd w:val="clear" w:color="auto" w:fill="auto"/>
            <w:vAlign w:val="center"/>
          </w:tcPr>
          <w:p>
            <w:pPr>
              <w:spacing w:line="480" w:lineRule="atLeast"/>
              <w:rPr>
                <w:rFonts w:ascii="宋体" w:hAnsi="宋体"/>
                <w:b/>
                <w:bCs/>
                <w:iCs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iCs/>
                <w:sz w:val="24"/>
                <w:szCs w:val="24"/>
              </w:rPr>
              <w:t>附件清单（如有）</w:t>
            </w:r>
          </w:p>
        </w:tc>
        <w:tc>
          <w:tcPr>
            <w:tcW w:w="7548" w:type="dxa"/>
            <w:shd w:val="clear" w:color="auto" w:fill="auto"/>
          </w:tcPr>
          <w:p>
            <w:pPr>
              <w:spacing w:line="480" w:lineRule="atLeast"/>
              <w:rPr>
                <w:rFonts w:ascii="宋体" w:hAnsi="宋体"/>
                <w:bCs/>
                <w:iCs/>
                <w:sz w:val="24"/>
                <w:szCs w:val="24"/>
              </w:rPr>
            </w:pPr>
            <w:r>
              <w:rPr>
                <w:rFonts w:hint="eastAsia" w:ascii="宋体" w:hAnsi="宋体"/>
                <w:bCs/>
                <w:iCs/>
                <w:sz w:val="24"/>
                <w:szCs w:val="24"/>
              </w:rPr>
              <w:t>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08" w:type="dxa"/>
            <w:shd w:val="clear" w:color="auto" w:fill="auto"/>
            <w:vAlign w:val="center"/>
          </w:tcPr>
          <w:p>
            <w:pPr>
              <w:spacing w:line="480" w:lineRule="atLeast"/>
              <w:rPr>
                <w:rFonts w:ascii="宋体" w:hAnsi="宋体"/>
                <w:b/>
                <w:bCs/>
                <w:iCs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iCs/>
                <w:sz w:val="24"/>
                <w:szCs w:val="24"/>
              </w:rPr>
              <w:t>日期</w:t>
            </w:r>
          </w:p>
        </w:tc>
        <w:tc>
          <w:tcPr>
            <w:tcW w:w="7548" w:type="dxa"/>
            <w:shd w:val="clear" w:color="auto" w:fill="auto"/>
          </w:tcPr>
          <w:p>
            <w:pPr>
              <w:spacing w:line="480" w:lineRule="atLeast"/>
              <w:rPr>
                <w:rFonts w:ascii="宋体" w:hAnsi="宋体"/>
                <w:bCs/>
                <w:iCs/>
                <w:sz w:val="24"/>
                <w:szCs w:val="24"/>
              </w:rPr>
            </w:pPr>
            <w:r>
              <w:rPr>
                <w:rFonts w:hint="eastAsia" w:ascii="宋体" w:hAnsi="宋体"/>
                <w:bCs/>
                <w:iCs/>
                <w:sz w:val="24"/>
                <w:szCs w:val="24"/>
              </w:rPr>
              <w:t>2020年</w:t>
            </w:r>
            <w:r>
              <w:rPr>
                <w:rFonts w:hint="eastAsia" w:ascii="宋体" w:hAnsi="宋体"/>
                <w:bCs/>
                <w:iCs/>
                <w:sz w:val="24"/>
                <w:szCs w:val="24"/>
                <w:lang w:val="en-US" w:eastAsia="zh-CN"/>
              </w:rPr>
              <w:t>9</w:t>
            </w:r>
            <w:r>
              <w:rPr>
                <w:rFonts w:hint="eastAsia" w:ascii="宋体" w:hAnsi="宋体"/>
                <w:bCs/>
                <w:iCs/>
                <w:sz w:val="24"/>
                <w:szCs w:val="24"/>
              </w:rPr>
              <w:t>月</w:t>
            </w:r>
            <w:r>
              <w:rPr>
                <w:rFonts w:hint="eastAsia" w:ascii="宋体" w:hAnsi="宋体"/>
                <w:bCs/>
                <w:iCs/>
                <w:sz w:val="24"/>
                <w:szCs w:val="24"/>
                <w:lang w:val="en-US" w:eastAsia="zh-CN"/>
              </w:rPr>
              <w:t>1</w:t>
            </w:r>
            <w:r>
              <w:rPr>
                <w:rFonts w:hint="eastAsia" w:ascii="宋体" w:hAnsi="宋体"/>
                <w:bCs/>
                <w:iCs/>
                <w:sz w:val="24"/>
                <w:szCs w:val="24"/>
              </w:rPr>
              <w:t>日</w:t>
            </w:r>
          </w:p>
        </w:tc>
      </w:tr>
    </w:tbl>
    <w:p/>
    <w:sectPr>
      <w:pgSz w:w="11906" w:h="16838"/>
      <w:pgMar w:top="1276" w:right="1800" w:bottom="1418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ourier New">
    <w:panose1 w:val="02070309020205020404"/>
    <w:charset w:val="00"/>
    <w:family w:val="auto"/>
    <w:pitch w:val="default"/>
    <w:sig w:usb0="E0002AFF" w:usb1="C0007843" w:usb2="00000009" w:usb3="00000000" w:csb0="400001FF" w:csb1="FFFF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3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955B8"/>
    <w:rsid w:val="00026876"/>
    <w:rsid w:val="000330F0"/>
    <w:rsid w:val="000471DE"/>
    <w:rsid w:val="00051214"/>
    <w:rsid w:val="00062A79"/>
    <w:rsid w:val="0009738A"/>
    <w:rsid w:val="000B2336"/>
    <w:rsid w:val="000D4851"/>
    <w:rsid w:val="000E1652"/>
    <w:rsid w:val="00125E97"/>
    <w:rsid w:val="00180089"/>
    <w:rsid w:val="001B54D0"/>
    <w:rsid w:val="001E54B7"/>
    <w:rsid w:val="00220827"/>
    <w:rsid w:val="00224EA0"/>
    <w:rsid w:val="00226FA7"/>
    <w:rsid w:val="00241472"/>
    <w:rsid w:val="0027476C"/>
    <w:rsid w:val="002D45F7"/>
    <w:rsid w:val="003107CC"/>
    <w:rsid w:val="00316481"/>
    <w:rsid w:val="0032465C"/>
    <w:rsid w:val="00347985"/>
    <w:rsid w:val="00356369"/>
    <w:rsid w:val="00367B6B"/>
    <w:rsid w:val="003A1F98"/>
    <w:rsid w:val="003A1FE9"/>
    <w:rsid w:val="003A263F"/>
    <w:rsid w:val="003A49A6"/>
    <w:rsid w:val="003A6778"/>
    <w:rsid w:val="003B372F"/>
    <w:rsid w:val="003C1D36"/>
    <w:rsid w:val="003D2A9C"/>
    <w:rsid w:val="003E6850"/>
    <w:rsid w:val="00400E59"/>
    <w:rsid w:val="00404FF2"/>
    <w:rsid w:val="00406708"/>
    <w:rsid w:val="004254BB"/>
    <w:rsid w:val="004351E2"/>
    <w:rsid w:val="00454FCE"/>
    <w:rsid w:val="00464AE3"/>
    <w:rsid w:val="0048039E"/>
    <w:rsid w:val="00486B4C"/>
    <w:rsid w:val="004D0F2B"/>
    <w:rsid w:val="004D57CD"/>
    <w:rsid w:val="005277A6"/>
    <w:rsid w:val="0055470D"/>
    <w:rsid w:val="005741EF"/>
    <w:rsid w:val="00593970"/>
    <w:rsid w:val="005C5D26"/>
    <w:rsid w:val="005F2921"/>
    <w:rsid w:val="006374CA"/>
    <w:rsid w:val="0065424E"/>
    <w:rsid w:val="00664C52"/>
    <w:rsid w:val="00692757"/>
    <w:rsid w:val="006973D0"/>
    <w:rsid w:val="006E61B8"/>
    <w:rsid w:val="00710D1B"/>
    <w:rsid w:val="0074419F"/>
    <w:rsid w:val="00746150"/>
    <w:rsid w:val="00754546"/>
    <w:rsid w:val="007813E4"/>
    <w:rsid w:val="007855A1"/>
    <w:rsid w:val="0078753E"/>
    <w:rsid w:val="00787FD9"/>
    <w:rsid w:val="00791CBA"/>
    <w:rsid w:val="00814D2C"/>
    <w:rsid w:val="008267BD"/>
    <w:rsid w:val="00831931"/>
    <w:rsid w:val="00847D84"/>
    <w:rsid w:val="008614C9"/>
    <w:rsid w:val="00872101"/>
    <w:rsid w:val="00884C47"/>
    <w:rsid w:val="00893E6F"/>
    <w:rsid w:val="008A6836"/>
    <w:rsid w:val="008B1EA9"/>
    <w:rsid w:val="008B255E"/>
    <w:rsid w:val="008B7BAB"/>
    <w:rsid w:val="0092034E"/>
    <w:rsid w:val="00927BDE"/>
    <w:rsid w:val="009327F3"/>
    <w:rsid w:val="00942FF6"/>
    <w:rsid w:val="00963A49"/>
    <w:rsid w:val="00991892"/>
    <w:rsid w:val="009E49BF"/>
    <w:rsid w:val="009F35B1"/>
    <w:rsid w:val="00A06FDE"/>
    <w:rsid w:val="00A30D03"/>
    <w:rsid w:val="00A4187E"/>
    <w:rsid w:val="00A612EB"/>
    <w:rsid w:val="00A6533F"/>
    <w:rsid w:val="00A70107"/>
    <w:rsid w:val="00A72707"/>
    <w:rsid w:val="00AA1D5D"/>
    <w:rsid w:val="00AA4C01"/>
    <w:rsid w:val="00AC1115"/>
    <w:rsid w:val="00AC2440"/>
    <w:rsid w:val="00AD173D"/>
    <w:rsid w:val="00B73854"/>
    <w:rsid w:val="00B8522A"/>
    <w:rsid w:val="00B8795C"/>
    <w:rsid w:val="00BB1502"/>
    <w:rsid w:val="00BE7AF9"/>
    <w:rsid w:val="00C02F6B"/>
    <w:rsid w:val="00C32C77"/>
    <w:rsid w:val="00C46F43"/>
    <w:rsid w:val="00C5701D"/>
    <w:rsid w:val="00C60329"/>
    <w:rsid w:val="00C7008C"/>
    <w:rsid w:val="00C91017"/>
    <w:rsid w:val="00CC1930"/>
    <w:rsid w:val="00D13612"/>
    <w:rsid w:val="00D206E4"/>
    <w:rsid w:val="00D318A1"/>
    <w:rsid w:val="00D4478F"/>
    <w:rsid w:val="00D52164"/>
    <w:rsid w:val="00D541C0"/>
    <w:rsid w:val="00D6000B"/>
    <w:rsid w:val="00D64D41"/>
    <w:rsid w:val="00D67338"/>
    <w:rsid w:val="00DB2B1F"/>
    <w:rsid w:val="00DD27FD"/>
    <w:rsid w:val="00DD3125"/>
    <w:rsid w:val="00DD47A2"/>
    <w:rsid w:val="00DD5F2C"/>
    <w:rsid w:val="00DF4548"/>
    <w:rsid w:val="00E12000"/>
    <w:rsid w:val="00E25AC1"/>
    <w:rsid w:val="00E31C87"/>
    <w:rsid w:val="00E3310C"/>
    <w:rsid w:val="00E549E4"/>
    <w:rsid w:val="00E6463B"/>
    <w:rsid w:val="00E72664"/>
    <w:rsid w:val="00E76673"/>
    <w:rsid w:val="00E9370A"/>
    <w:rsid w:val="00E955B8"/>
    <w:rsid w:val="00EA13C5"/>
    <w:rsid w:val="00EA3A7E"/>
    <w:rsid w:val="00EC0148"/>
    <w:rsid w:val="00EC3E7C"/>
    <w:rsid w:val="00EC6F5A"/>
    <w:rsid w:val="00EE31B2"/>
    <w:rsid w:val="00F0098E"/>
    <w:rsid w:val="00F07B0F"/>
    <w:rsid w:val="00F215F5"/>
    <w:rsid w:val="00F24A71"/>
    <w:rsid w:val="00F4383F"/>
    <w:rsid w:val="00F7332E"/>
    <w:rsid w:val="00F75716"/>
    <w:rsid w:val="00F854F5"/>
    <w:rsid w:val="00F93615"/>
    <w:rsid w:val="00FB6F8D"/>
    <w:rsid w:val="00FD13E1"/>
    <w:rsid w:val="0423432C"/>
    <w:rsid w:val="04407F40"/>
    <w:rsid w:val="075B0390"/>
    <w:rsid w:val="103F6ED2"/>
    <w:rsid w:val="140C17FB"/>
    <w:rsid w:val="192C325F"/>
    <w:rsid w:val="272F63B3"/>
    <w:rsid w:val="278C36C5"/>
    <w:rsid w:val="2B295C56"/>
    <w:rsid w:val="2E3B2813"/>
    <w:rsid w:val="32290DAD"/>
    <w:rsid w:val="46B9235F"/>
    <w:rsid w:val="496E58C8"/>
    <w:rsid w:val="4B454551"/>
    <w:rsid w:val="5169356C"/>
    <w:rsid w:val="545D3221"/>
    <w:rsid w:val="5954753E"/>
    <w:rsid w:val="5DA20C4E"/>
    <w:rsid w:val="6B033965"/>
    <w:rsid w:val="76CA40C5"/>
    <w:rsid w:val="7FEF57AD"/>
    <w:rsid w:val="FDFBE3D1"/>
    <w:rsid w:val="FEFF19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4">
    <w:name w:val="Default Paragraph Font"/>
    <w:unhideWhenUsed/>
    <w:uiPriority w:val="1"/>
  </w:style>
  <w:style w:type="table" w:default="1" w:styleId="6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9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8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5">
    <w:name w:val="Hyperlink"/>
    <w:basedOn w:val="4"/>
    <w:unhideWhenUsed/>
    <w:qFormat/>
    <w:uiPriority w:val="99"/>
    <w:rPr>
      <w:color w:val="0000FF"/>
      <w:u w:val="single"/>
    </w:rPr>
  </w:style>
  <w:style w:type="paragraph" w:customStyle="1" w:styleId="7">
    <w:name w:val="列出段落1"/>
    <w:basedOn w:val="1"/>
    <w:qFormat/>
    <w:uiPriority w:val="34"/>
    <w:pPr>
      <w:ind w:firstLine="420" w:firstLineChars="200"/>
    </w:pPr>
  </w:style>
  <w:style w:type="character" w:customStyle="1" w:styleId="8">
    <w:name w:val="页眉 Char"/>
    <w:basedOn w:val="4"/>
    <w:link w:val="3"/>
    <w:semiHidden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9">
    <w:name w:val="页脚 Char"/>
    <w:basedOn w:val="4"/>
    <w:link w:val="2"/>
    <w:semiHidden/>
    <w:qFormat/>
    <w:uiPriority w:val="99"/>
    <w:rPr>
      <w:rFonts w:ascii="Times New Roman" w:hAnsi="Times New Roman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China</Company>
  <Pages>2</Pages>
  <Words>158</Words>
  <Characters>905</Characters>
  <Lines>7</Lines>
  <Paragraphs>2</Paragraphs>
  <ScaleCrop>false</ScaleCrop>
  <LinksUpToDate>false</LinksUpToDate>
  <CharactersWithSpaces>1061</CharactersWithSpaces>
  <Application>WPS Office_10.8.0.6206_F1E327BC-269C-435d-A152-05C5408002CA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2016-05-06T16:35:00Z</dcterms:created>
  <dc:creator>刘艳春</dc:creator>
  <cp:lastModifiedBy>刘艳春</cp:lastModifiedBy>
  <cp:lastPrinted>2020-09-02T07:09:00Z</cp:lastPrinted>
  <dcterms:modified xsi:type="dcterms:W3CDTF">2020-09-02T10:10:42Z</dcterms:modified>
  <cp:revision>36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2052-10.8.0.6206</vt:lpwstr>
  </property>
</Properties>
</file>